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805C" w14:textId="0E50A9B0" w:rsidR="007F34E2" w:rsidRPr="00743284" w:rsidRDefault="002F37DD">
      <w:pPr>
        <w:rPr>
          <w:u w:val="single"/>
        </w:rPr>
      </w:pPr>
    </w:p>
    <w:p w14:paraId="42F5DDD5" w14:textId="6DF9D99B" w:rsidR="007D6FB4" w:rsidRDefault="007D6FB4"/>
    <w:p w14:paraId="33826ABF" w14:textId="6750186B" w:rsidR="007D6FB4" w:rsidRDefault="007D6FB4"/>
    <w:p w14:paraId="20EF9B21" w14:textId="77777777" w:rsidR="001A7F95" w:rsidRPr="004C1B47" w:rsidRDefault="001A7F95" w:rsidP="001A7F95">
      <w:pPr>
        <w:shd w:val="clear" w:color="auto" w:fill="FFFFFF"/>
        <w:rPr>
          <w:rFonts w:ascii="inherit" w:hAnsi="inherit" w:cs="Segoe UI"/>
          <w:b/>
          <w:bCs/>
          <w:color w:val="201F1E"/>
          <w:sz w:val="32"/>
          <w:szCs w:val="32"/>
          <w:bdr w:val="none" w:sz="0" w:space="0" w:color="auto" w:frame="1"/>
          <w:lang w:val="es-ES"/>
        </w:rPr>
      </w:pPr>
      <w:r w:rsidRPr="004C1B47">
        <w:rPr>
          <w:rFonts w:ascii="inherit" w:hAnsi="inherit" w:cs="Segoe UI"/>
          <w:b/>
          <w:bCs/>
          <w:color w:val="201F1E"/>
          <w:sz w:val="32"/>
          <w:szCs w:val="32"/>
          <w:bdr w:val="none" w:sz="0" w:space="0" w:color="auto" w:frame="1"/>
          <w:lang w:val="es-ES"/>
        </w:rPr>
        <w:t>La transformación energética de Puerto Rico</w:t>
      </w:r>
    </w:p>
    <w:p w14:paraId="231F15A9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Por: Pedro R. Pierluisi – Gobernador de Puerto Rico</w:t>
      </w:r>
    </w:p>
    <w:p w14:paraId="7A8EB19C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Para: El Nuevo Día</w:t>
      </w:r>
    </w:p>
    <w:p w14:paraId="4F4096DF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7BE8C3BF" w14:textId="2E6F7452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Puerto Rico se encuentra en un punto de inflexión importante en cuanto a la transformación de nuestro sistema eléctrico.  Luego de décadas de abandono a la infraestructura de la Autoridad de Energía Eléctrica (AEE), la acumulación de una deuda de sobre $9,000 millones y un servicio ineficiente, inestable y anticuado, su viabilidad colapsó con el huracán María y se comenzó a concretar la nueva visión de modernización que está encaminada al día de hoy. </w:t>
      </w:r>
    </w:p>
    <w:p w14:paraId="2BAA7551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456372E0" w14:textId="169E67F1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Mi administración está comprometida con esa transformación y modernización, hemos dedicado todos los recursos necesarios para lograrla y en los pasados 20 meses hemos tenido avances significativos. Como pueblo todas y todos aspiramos a un sistema </w:t>
      </w:r>
      <w:r w:rsidR="005D63CD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eléctrico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moderno, confiable y resiliente, que cada vez más utilice fuentes de energía renovable y que le sirva bien a nuestro pueblo, promueva nuestro desarrollo económico y proteja nuestro ambiente. </w:t>
      </w:r>
    </w:p>
    <w:p w14:paraId="133ADC09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541804E2" w14:textId="1817AC64" w:rsidR="001A7F95" w:rsidRPr="00DF3F1A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Nuestra Política Pública Energética está plasmada en la </w:t>
      </w:r>
      <w:r w:rsidR="005D63CD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L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ey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57 de 2014 </w:t>
      </w:r>
      <w:r w:rsidR="005D63CD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que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regula </w:t>
      </w:r>
      <w:r w:rsidR="005D63CD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e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l sistema eléctrico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,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la </w:t>
      </w:r>
      <w:r w:rsidR="005D63CD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Ley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120 de 2018 </w:t>
      </w:r>
      <w:r w:rsidR="005D63CD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que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viabiliza su transformación y la </w:t>
      </w:r>
      <w:r w:rsidR="005D63CD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Ley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17 de 2019 </w:t>
      </w:r>
      <w:r w:rsidR="005D63CD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que busca lograr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un sector energético moderno y accesible, fija ambiciosas metas de generación a base de fuentes de energía renovables y prom</w:t>
      </w:r>
      <w:r w:rsidR="005D63CD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ueve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la generación distribuida y la medición neta. </w:t>
      </w:r>
    </w:p>
    <w:p w14:paraId="3880341C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295BE021" w14:textId="507579EC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Luego del huracán María y en medio de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la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quiebra de la AEE, con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la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cual estamos trabajando para restructurar su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s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deuda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s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de forma sostenible, se han ido sentando las bases para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la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transformación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de nuestro sistema eléctrico conforme a la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regulación independiente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lastRenderedPageBreak/>
        <w:t>de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l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Negociado de Energía de Puerto Rico y el Plan Integrado de Recursos aprobado por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esa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entidad.</w:t>
      </w:r>
    </w:p>
    <w:p w14:paraId="44B2102E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7E238568" w14:textId="675A113A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La generación de energía en la Isla todavía proviene principalmente de plantas generatrices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que queman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combustibles fósiles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y que, en su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mayoría,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tienen más de 50 años.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L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os daños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causados por el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huracán María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, t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anto en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esas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plantas generatrices como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en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nuestra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red de transmisión y distribución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,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tuvieron que ser reparados de forma temporera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en lo que se reconstruye el sistema eléctrico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de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la Isla de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forma permanente.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El embate d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el huracán Fiona ocurri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ó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cuando aún no se ha concretado la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modernización de nuestra infraestructura eléctrica</w:t>
      </w:r>
      <w:r w:rsidR="00247946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, y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no hay tiempo que perder.</w:t>
      </w:r>
    </w:p>
    <w:p w14:paraId="33C1D8AC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2EA21BEC" w14:textId="287FE45D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Luego de que en septiembre del 2020 FEMA destinara un presupuesto federal de cerca de $9,500 millones para la reconstrucción de nuestra red eléctrica y las mejoras necesarias a nuestras plantas generatrices, y </w:t>
      </w:r>
      <w:r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una vez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nos aprobar</w:t>
      </w:r>
      <w:r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o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n las guías finales para el uso de esos fondos, tenemos 47 proyectos en diseño o construcción con un valor de $1,500 millones y cerca de 180 proyectos adicionales encaminados.</w:t>
      </w:r>
    </w:p>
    <w:p w14:paraId="1C15F39E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112FC7CC" w14:textId="54F4FDF8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Al mismo tiempo, como parte de la alianza público-privada con LUMA para la operación de la red eléctrica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conforme a la política pública establecida y la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contratación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otorgada 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previo a mi administración, la empresa ha conectado a la red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más de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</w:t>
      </w:r>
      <w:r w:rsidR="009627E8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30,</w:t>
      </w:r>
      <w:r w:rsidRPr="00DF3F1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000 instalaciones de generación distribuida, mayormente sistemas solares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en residencias y comercios, </w:t>
      </w:r>
      <w:r w:rsidR="00550151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y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ha cambiado más de 3,800 postes y </w:t>
      </w:r>
      <w:r w:rsidR="009627E8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rehabilitado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</w:t>
      </w:r>
      <w:r w:rsidR="00721D96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varias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subestaciones eléctricas</w:t>
      </w:r>
      <w:r w:rsidR="009627E8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</w:t>
      </w:r>
      <w:r w:rsidR="00D12EF6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que estaban </w:t>
      </w:r>
      <w:r w:rsidR="009627E8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fuera de servicio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.  </w:t>
      </w:r>
    </w:p>
    <w:p w14:paraId="711096F4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247BF12C" w14:textId="3E6C5E2F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Asimismo, el Departamento de la Vivienda está instalando sistemas de energía solar con baterías a todas las viviendas reconstruidas bajo el programa de R3 y ya comenzó el proceso de requerimiento de propuestas para la administración de $1,300 millones de fondos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lastRenderedPageBreak/>
        <w:t xml:space="preserve">CDBG-DR destinados a microredes eléctricas y sistemas de almacenamiento de energía. También, mi administración asignó $20 millones al programa Apoyo Energético que está impactando </w:t>
      </w:r>
      <w:r w:rsidR="00413B50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a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casi 900 pequeñas empresas. Por otro lado, </w:t>
      </w:r>
      <w:r w:rsidR="00413B50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el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Departamento de la Vivienda y el Fideicomiso de Energía Verde emplearán $500 millones en fondos CDBG-MIT para incentivar la adquisición de sistemas de energía renovable por parte de familias de bajos y medianos ingresos y PyMEs. </w:t>
      </w:r>
    </w:p>
    <w:p w14:paraId="41DFF96E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4870BFA3" w14:textId="615D0571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Conjuntamente, el Negociado de Energía dio paso a proyectos de energía renovable que añadirán cerca de 850 megavatios de generación, así como el almacenamiento de 200 megavatios </w:t>
      </w:r>
      <w:r w:rsidR="00730696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de 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energía. Además, ya tiene encaminado el proceso para viabilizar otro grupo de proyectos que añadirán 1000 megavatios de energía renovable al sistema de generación y 500 megavatios adicionales de almacenamiento. </w:t>
      </w:r>
    </w:p>
    <w:p w14:paraId="28749F6A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1D147F20" w14:textId="7606ABF9" w:rsidR="001A7F95" w:rsidRPr="001835CC" w:rsidRDefault="007E0BA6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Todos estos </w:t>
      </w:r>
      <w:r w:rsidR="001A7F95"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esfuerzos </w:t>
      </w:r>
      <w:r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van dirigidos a </w:t>
      </w:r>
      <w:r w:rsidR="001A7F95"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rediseñar y fortalecer nuestra red de transmisión y distribución de energía y </w:t>
      </w:r>
      <w:r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a</w:t>
      </w:r>
      <w:r w:rsidR="001A7F95"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mejorar nuestras plantas generatrices, maximizando el uso de gas natural, en lo que sustituimos el sistema integrado actual por uno nuevo, moderno e interdependiente que para el 2050 obtenga toda su generación de fuentes de energía renovable. </w:t>
      </w:r>
    </w:p>
    <w:p w14:paraId="365DAB65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</w:p>
    <w:p w14:paraId="42850115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Esa transición requiere optimizar el sistema que tenemos para asegurar que toda nuestra población pueda contar con un servicio de electricidad confiable, particularmente aquellas personas de bajos recursos o que residen en hogares o tienen negocios en locales no aptos para placas solares y baterías. </w:t>
      </w:r>
    </w:p>
    <w:p w14:paraId="03874FBC" w14:textId="77777777" w:rsidR="001A7F95" w:rsidRPr="001835CC" w:rsidRDefault="001A7F95" w:rsidP="001A7F95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 </w:t>
      </w:r>
    </w:p>
    <w:p w14:paraId="712E0CF4" w14:textId="387D0BDD" w:rsidR="007D6FB4" w:rsidRPr="003B58A4" w:rsidRDefault="001A7F95" w:rsidP="003B58A4">
      <w:pPr>
        <w:shd w:val="clear" w:color="auto" w:fill="FFFFFF"/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</w:pP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La transformación de nuestro sistema energético es compleja y toma</w:t>
      </w:r>
      <w:r w:rsidR="0024119A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>rá</w:t>
      </w:r>
      <w:r w:rsidRPr="001835CC">
        <w:rPr>
          <w:rFonts w:ascii="inherit" w:hAnsi="inherit" w:cs="Segoe UI"/>
          <w:color w:val="201F1E"/>
          <w:sz w:val="32"/>
          <w:szCs w:val="32"/>
          <w:bdr w:val="none" w:sz="0" w:space="0" w:color="auto" w:frame="1"/>
          <w:lang w:val="es-ES"/>
        </w:rPr>
        <w:t xml:space="preserve"> tiempo, y estamos en el camino correcto para garantizarle a todas y todos en Puerto Rico acceso a energía limpia, confiable y resiliente.</w:t>
      </w:r>
    </w:p>
    <w:sectPr w:rsidR="007D6FB4" w:rsidRPr="003B58A4" w:rsidSect="00802E7A">
      <w:footerReference w:type="even" r:id="rId6"/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749E" w14:textId="77777777" w:rsidR="002F37DD" w:rsidRDefault="002F37DD" w:rsidP="007D6FB4">
      <w:r>
        <w:separator/>
      </w:r>
    </w:p>
  </w:endnote>
  <w:endnote w:type="continuationSeparator" w:id="0">
    <w:p w14:paraId="6DFFB25F" w14:textId="77777777" w:rsidR="002F37DD" w:rsidRDefault="002F37DD" w:rsidP="007D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0994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CEF582" w14:textId="03FF2E04" w:rsidR="00743284" w:rsidRDefault="00743284" w:rsidP="004460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B26993" w14:textId="77777777" w:rsidR="00743284" w:rsidRDefault="00743284" w:rsidP="007432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515007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75FA54" w14:textId="614341A9" w:rsidR="00743284" w:rsidRDefault="00743284" w:rsidP="004460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11</w:t>
        </w:r>
        <w:r>
          <w:rPr>
            <w:rStyle w:val="PageNumber"/>
          </w:rPr>
          <w:fldChar w:fldCharType="end"/>
        </w:r>
      </w:p>
    </w:sdtContent>
  </w:sdt>
  <w:p w14:paraId="0C6242F5" w14:textId="69070CF3" w:rsidR="00743284" w:rsidRDefault="00743284" w:rsidP="00743284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88A62F" wp14:editId="0525C5CE">
          <wp:simplePos x="0" y="0"/>
          <wp:positionH relativeFrom="column">
            <wp:posOffset>5126477</wp:posOffset>
          </wp:positionH>
          <wp:positionV relativeFrom="paragraph">
            <wp:posOffset>-1243911</wp:posOffset>
          </wp:positionV>
          <wp:extent cx="1727200" cy="4901515"/>
          <wp:effectExtent l="0" t="0" r="0" b="1270"/>
          <wp:wrapNone/>
          <wp:docPr id="2" name="Picture 2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490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EF54" w14:textId="77777777" w:rsidR="002F37DD" w:rsidRDefault="002F37DD" w:rsidP="007D6FB4">
      <w:r>
        <w:separator/>
      </w:r>
    </w:p>
  </w:footnote>
  <w:footnote w:type="continuationSeparator" w:id="0">
    <w:p w14:paraId="67AED72A" w14:textId="77777777" w:rsidR="002F37DD" w:rsidRDefault="002F37DD" w:rsidP="007D6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2018C" w14:textId="38C7C566" w:rsidR="00802E7A" w:rsidRDefault="00802E7A">
    <w:pPr>
      <w:pStyle w:val="Header"/>
    </w:pPr>
    <w:r w:rsidRPr="00743284">
      <w:rPr>
        <w:noProof/>
        <w:u w:val="single"/>
      </w:rPr>
      <w:drawing>
        <wp:anchor distT="0" distB="0" distL="114300" distR="114300" simplePos="0" relativeHeight="251661312" behindDoc="0" locked="0" layoutInCell="1" allowOverlap="1" wp14:anchorId="62ECAECC" wp14:editId="126D9246">
          <wp:simplePos x="0" y="0"/>
          <wp:positionH relativeFrom="column">
            <wp:posOffset>-675861</wp:posOffset>
          </wp:positionH>
          <wp:positionV relativeFrom="paragraph">
            <wp:posOffset>-337931</wp:posOffset>
          </wp:positionV>
          <wp:extent cx="6195683" cy="1625600"/>
          <wp:effectExtent l="0" t="0" r="0" b="0"/>
          <wp:wrapNone/>
          <wp:docPr id="1" name="Picture 1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5683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B4"/>
    <w:rsid w:val="00175FD9"/>
    <w:rsid w:val="00192973"/>
    <w:rsid w:val="001A7F95"/>
    <w:rsid w:val="001D0E2C"/>
    <w:rsid w:val="0024119A"/>
    <w:rsid w:val="00241C7E"/>
    <w:rsid w:val="00247946"/>
    <w:rsid w:val="0027259A"/>
    <w:rsid w:val="002B4E8B"/>
    <w:rsid w:val="002B7F06"/>
    <w:rsid w:val="002C511E"/>
    <w:rsid w:val="002F37DD"/>
    <w:rsid w:val="00323D90"/>
    <w:rsid w:val="0032759D"/>
    <w:rsid w:val="003B58A4"/>
    <w:rsid w:val="00413B50"/>
    <w:rsid w:val="00415864"/>
    <w:rsid w:val="004C1B47"/>
    <w:rsid w:val="00550151"/>
    <w:rsid w:val="005D63CD"/>
    <w:rsid w:val="00606FEC"/>
    <w:rsid w:val="00677AF5"/>
    <w:rsid w:val="006C7D03"/>
    <w:rsid w:val="00721D96"/>
    <w:rsid w:val="00725D46"/>
    <w:rsid w:val="00730696"/>
    <w:rsid w:val="00743284"/>
    <w:rsid w:val="007D6FB4"/>
    <w:rsid w:val="007E0BA6"/>
    <w:rsid w:val="00802E7A"/>
    <w:rsid w:val="008A7729"/>
    <w:rsid w:val="008E7F4A"/>
    <w:rsid w:val="009358DD"/>
    <w:rsid w:val="00937E93"/>
    <w:rsid w:val="009627E8"/>
    <w:rsid w:val="00A26FB8"/>
    <w:rsid w:val="00A41ED6"/>
    <w:rsid w:val="00A9246E"/>
    <w:rsid w:val="00A926D9"/>
    <w:rsid w:val="00AD298E"/>
    <w:rsid w:val="00B56384"/>
    <w:rsid w:val="00B62B27"/>
    <w:rsid w:val="00B87C3E"/>
    <w:rsid w:val="00BA62F8"/>
    <w:rsid w:val="00BD59B3"/>
    <w:rsid w:val="00C22900"/>
    <w:rsid w:val="00C81E28"/>
    <w:rsid w:val="00C93551"/>
    <w:rsid w:val="00D12EF6"/>
    <w:rsid w:val="00D76C84"/>
    <w:rsid w:val="00DA781C"/>
    <w:rsid w:val="00DF22C0"/>
    <w:rsid w:val="00E107D8"/>
    <w:rsid w:val="00E22F9D"/>
    <w:rsid w:val="00E23260"/>
    <w:rsid w:val="00E348EC"/>
    <w:rsid w:val="00F64913"/>
    <w:rsid w:val="00F85ACC"/>
    <w:rsid w:val="00FE26F2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AC9D8"/>
  <w15:chartTrackingRefBased/>
  <w15:docId w15:val="{23B0C66C-712C-F14E-96F2-AFD303ED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F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D6FB4"/>
  </w:style>
  <w:style w:type="paragraph" w:styleId="Footer">
    <w:name w:val="footer"/>
    <w:basedOn w:val="Normal"/>
    <w:link w:val="FooterChar"/>
    <w:uiPriority w:val="99"/>
    <w:unhideWhenUsed/>
    <w:rsid w:val="007D6FB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D6FB4"/>
  </w:style>
  <w:style w:type="character" w:styleId="PageNumber">
    <w:name w:val="page number"/>
    <w:basedOn w:val="DefaultParagraphFont"/>
    <w:uiPriority w:val="99"/>
    <w:semiHidden/>
    <w:unhideWhenUsed/>
    <w:rsid w:val="0074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AEC61F7ADC24BA0278068B87C4C1A" ma:contentTypeVersion="21" ma:contentTypeDescription="Create a new document." ma:contentTypeScope="" ma:versionID="b246bc1ba0c06a60e5e4a6eabf49d415">
  <xsd:schema xmlns:xsd="http://www.w3.org/2001/XMLSchema" xmlns:xs="http://www.w3.org/2001/XMLSchema" xmlns:p="http://schemas.microsoft.com/office/2006/metadata/properties" xmlns:ns2="2efd02e2-ea1e-4286-95e2-a5bacb05b136" xmlns:ns3="2e0f9a37-d5d4-403e-a0de-8e0e72481b0e" targetNamespace="http://schemas.microsoft.com/office/2006/metadata/properties" ma:root="true" ma:fieldsID="3d6de153d1eb5e094dea5b6242de53ae" ns2:_="" ns3:_="">
    <xsd:import namespace="2efd02e2-ea1e-4286-95e2-a5bacb05b136"/>
    <xsd:import namespace="2e0f9a37-d5d4-403e-a0de-8e0e72481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nk" minOccurs="0"/>
                <xsd:element ref="ns2:UrlString" minOccurs="0"/>
                <xsd:element ref="ns2:ENLACETEST" minOccurs="0"/>
                <xsd:element ref="ns2:EnlaceWebflow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Date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d02e2-ea1e-4286-95e2-a5bacb05b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nk" ma:index="14" nillable="true" ma:displayName="Lnk" ma:format="Hyperlink" ma:internalName="L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String" ma:index="15" nillable="true" ma:displayName="UrlString" ma:format="Dropdown" ma:internalName="UrlString">
      <xsd:simpleType>
        <xsd:restriction base="dms:Text">
          <xsd:maxLength value="255"/>
        </xsd:restriction>
      </xsd:simpleType>
    </xsd:element>
    <xsd:element name="ENLACETEST" ma:index="16" nillable="true" ma:displayName="ENLACETEST" ma:format="Dropdown" ma:internalName="ENLACETEST">
      <xsd:simpleType>
        <xsd:restriction base="dms:Text">
          <xsd:maxLength value="255"/>
        </xsd:restriction>
      </xsd:simpleType>
    </xsd:element>
    <xsd:element name="EnlaceWebflow" ma:index="18" nillable="true" ma:displayName="EnlaceWebflow" ma:format="Dropdown" ma:indexed="true" ma:internalName="EnlaceWebflow">
      <xsd:simpleType>
        <xsd:restriction base="dms:Text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Date" ma:index="23" nillable="true" ma:displayName="Date" ma:format="DateTime" ma:internalName="Dat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9189064c-74a9-43e5-b572-e3b11b1ca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f9a37-d5d4-403e-a0de-8e0e72481b0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db5104-a6ea-46f1-a222-154c6f3224c0}" ma:internalName="TaxCatchAll" ma:showField="CatchAllData" ma:web="2e0f9a37-d5d4-403e-a0de-8e0e72481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2efd02e2-ea1e-4286-95e2-a5bacb05b136" xsi:nil="true"/>
    <Lnk xmlns="2efd02e2-ea1e-4286-95e2-a5bacb05b136">
      <Url xsi:nil="true"/>
      <Description xsi:nil="true"/>
    </Lnk>
    <UrlString xmlns="2efd02e2-ea1e-4286-95e2-a5bacb05b136" xsi:nil="true"/>
    <lcf76f155ced4ddcb4097134ff3c332f xmlns="2efd02e2-ea1e-4286-95e2-a5bacb05b136">
      <Terms xmlns="http://schemas.microsoft.com/office/infopath/2007/PartnerControls"/>
    </lcf76f155ced4ddcb4097134ff3c332f>
    <TaxCatchAll xmlns="2e0f9a37-d5d4-403e-a0de-8e0e72481b0e" xsi:nil="true"/>
    <EnlaceWebflow xmlns="2efd02e2-ea1e-4286-95e2-a5bacb05b136" xsi:nil="true"/>
    <ENLACETEST xmlns="2efd02e2-ea1e-4286-95e2-a5bacb05b136" xsi:nil="true"/>
  </documentManagement>
</p:properties>
</file>

<file path=customXml/itemProps1.xml><?xml version="1.0" encoding="utf-8"?>
<ds:datastoreItem xmlns:ds="http://schemas.openxmlformats.org/officeDocument/2006/customXml" ds:itemID="{B6CE7055-A11C-4F1C-A3F3-656E476AB599}"/>
</file>

<file path=customXml/itemProps2.xml><?xml version="1.0" encoding="utf-8"?>
<ds:datastoreItem xmlns:ds="http://schemas.openxmlformats.org/officeDocument/2006/customXml" ds:itemID="{F86CF626-CFB1-400F-96B8-D49FCFC4C13B}"/>
</file>

<file path=customXml/itemProps3.xml><?xml version="1.0" encoding="utf-8"?>
<ds:datastoreItem xmlns:ds="http://schemas.openxmlformats.org/officeDocument/2006/customXml" ds:itemID="{7B245C18-DBCC-4D8E-B725-72349F9E6C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Acevedo Galarza</dc:creator>
  <cp:keywords/>
  <dc:description/>
  <cp:lastModifiedBy>Microsoft Office User</cp:lastModifiedBy>
  <cp:revision>40</cp:revision>
  <dcterms:created xsi:type="dcterms:W3CDTF">2022-10-10T13:58:00Z</dcterms:created>
  <dcterms:modified xsi:type="dcterms:W3CDTF">2022-10-10T17:05:00Z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0x010100CC1AEC61F7ADC24BA0278068B87C4C1A</vt:lpwstr>
  </property>
</Properties>
</file>