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2" w:rsidRDefault="003E2262" w:rsidP="003E2262">
      <w:pPr>
        <w:spacing w:line="276" w:lineRule="auto"/>
        <w:ind w:left="720"/>
        <w:rPr>
          <w:rFonts w:ascii="Calibri" w:hAnsi="Calibri" w:cs="Calibri"/>
          <w:b/>
          <w:sz w:val="28"/>
          <w:szCs w:val="28"/>
          <w:lang w:val="pt-BR"/>
        </w:rPr>
      </w:pPr>
      <w:r>
        <w:rPr>
          <w:rFonts w:ascii="Calibri" w:hAnsi="Calibri" w:cs="Calibri"/>
          <w:b/>
          <w:noProof/>
          <w:sz w:val="28"/>
          <w:szCs w:val="28"/>
          <w:lang w:val="es-PR" w:eastAsia="es-P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2967355" cy="1219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945" w:rsidRDefault="00725945" w:rsidP="003E2262">
      <w:pPr>
        <w:pStyle w:val="Heading1"/>
        <w:rPr>
          <w:sz w:val="36"/>
          <w:szCs w:val="36"/>
          <w:lang w:val="pt-BR"/>
        </w:rPr>
      </w:pPr>
    </w:p>
    <w:p w:rsidR="003E2262" w:rsidRPr="00D942F0" w:rsidRDefault="003E2262" w:rsidP="003E2262">
      <w:pPr>
        <w:pStyle w:val="Heading1"/>
        <w:rPr>
          <w:sz w:val="36"/>
          <w:szCs w:val="36"/>
          <w:lang w:val="pt-BR"/>
        </w:rPr>
      </w:pPr>
      <w:r w:rsidRPr="00D942F0">
        <w:rPr>
          <w:sz w:val="36"/>
          <w:szCs w:val="36"/>
          <w:lang w:val="pt-BR"/>
        </w:rPr>
        <w:t>Gobierno</w:t>
      </w:r>
      <w:bookmarkStart w:id="0" w:name="_GoBack"/>
      <w:bookmarkEnd w:id="0"/>
      <w:r w:rsidRPr="00D942F0">
        <w:rPr>
          <w:sz w:val="36"/>
          <w:szCs w:val="36"/>
          <w:lang w:val="pt-BR"/>
        </w:rPr>
        <w:t xml:space="preserve">  de  Puerto Rico</w:t>
      </w:r>
    </w:p>
    <w:p w:rsidR="003E2262" w:rsidRDefault="003E2262" w:rsidP="00725945">
      <w:pPr>
        <w:rPr>
          <w:rFonts w:ascii="Calibri" w:hAnsi="Calibri" w:cs="Calibri"/>
          <w:b/>
          <w:sz w:val="28"/>
          <w:szCs w:val="28"/>
          <w:lang w:val="pt-BR"/>
        </w:rPr>
      </w:pPr>
    </w:p>
    <w:p w:rsidR="003E2262" w:rsidRPr="00DB4A40" w:rsidRDefault="003E2262" w:rsidP="00DB4A40">
      <w:pPr>
        <w:spacing w:line="276" w:lineRule="auto"/>
        <w:jc w:val="center"/>
        <w:rPr>
          <w:rFonts w:ascii="Cambria" w:hAnsi="Cambria" w:cs="Calibri"/>
          <w:b/>
          <w:i/>
          <w:color w:val="FF0000"/>
          <w:sz w:val="32"/>
          <w:szCs w:val="32"/>
          <w:u w:val="single"/>
          <w:lang w:val="pt-BR"/>
        </w:rPr>
      </w:pPr>
      <w:r w:rsidRPr="00DB4A40">
        <w:rPr>
          <w:rFonts w:ascii="Cambria" w:hAnsi="Cambria" w:cs="Calibri"/>
          <w:b/>
          <w:i/>
          <w:color w:val="FF0000"/>
          <w:sz w:val="32"/>
          <w:szCs w:val="32"/>
          <w:u w:val="single"/>
          <w:lang w:val="pt-BR"/>
        </w:rPr>
        <w:t>Re-activación de Licencia (expiradas por más de 30 días ) / Licencias Nuevas</w:t>
      </w:r>
    </w:p>
    <w:p w:rsidR="003E2262" w:rsidRPr="00925372" w:rsidRDefault="003E2262" w:rsidP="00D942F0">
      <w:pPr>
        <w:spacing w:line="276" w:lineRule="auto"/>
        <w:ind w:firstLine="720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925372">
        <w:rPr>
          <w:rFonts w:asciiTheme="majorHAnsi" w:hAnsiTheme="majorHAnsi" w:cstheme="majorHAnsi"/>
          <w:b/>
          <w:sz w:val="24"/>
          <w:szCs w:val="24"/>
          <w:lang w:val="pt-BR"/>
        </w:rPr>
        <w:t>Documentos:</w:t>
      </w:r>
    </w:p>
    <w:p w:rsidR="00134E11" w:rsidRPr="00DB4A40" w:rsidRDefault="00134E11" w:rsidP="00D942F0">
      <w:pPr>
        <w:spacing w:line="276" w:lineRule="auto"/>
        <w:ind w:firstLine="720"/>
        <w:rPr>
          <w:rFonts w:ascii="Cambria" w:hAnsi="Cambria" w:cs="Calibri"/>
          <w:b/>
          <w:sz w:val="24"/>
          <w:szCs w:val="24"/>
          <w:lang w:val="pt-BR"/>
        </w:rPr>
      </w:pPr>
    </w:p>
    <w:p w:rsidR="0045706C" w:rsidRPr="00E13E0E" w:rsidRDefault="003E2262" w:rsidP="00E13E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Certificación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de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Deuda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de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Hacienda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SC-6096</w:t>
      </w:r>
      <w:r w:rsidR="00134E11" w:rsidRPr="00441957">
        <w:rPr>
          <w:rFonts w:asciiTheme="majorHAnsi" w:hAnsiTheme="majorHAnsi" w:cstheme="majorHAnsi"/>
          <w:iCs/>
          <w:sz w:val="24"/>
          <w:szCs w:val="24"/>
          <w:lang w:val="pt-BR"/>
        </w:rPr>
        <w:t>-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si en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certificacion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notifica que no aparece registrado en el sistema de Hacienda el modelo SC- 6096 debe acompañarse la certificacion SC-2781. Si la certificacion indica alguna deuda con</w:t>
      </w:r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tributiva debe ser acompañada del plan de pago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. La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vigencia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</w:t>
      </w:r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certificación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es de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un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año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cuando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es emitida por una</w:t>
      </w:r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colecturía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si es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obtenida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441957">
        <w:rPr>
          <w:rFonts w:asciiTheme="majorHAnsi" w:hAnsiTheme="majorHAnsi" w:cstheme="majorHAnsi"/>
          <w:sz w:val="24"/>
          <w:szCs w:val="24"/>
          <w:lang w:val="pt-BR"/>
        </w:rPr>
        <w:t>através de</w:t>
      </w:r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suri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tiene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duración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30 </w:t>
      </w:r>
      <w:proofErr w:type="spellStart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días</w:t>
      </w:r>
      <w:proofErr w:type="spellEnd"/>
      <w:r w:rsidR="009E269A" w:rsidRPr="00E13E0E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45706C" w:rsidRPr="00E13E0E" w:rsidRDefault="0045706C" w:rsidP="004570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45706C" w:rsidRPr="00E13E0E" w:rsidRDefault="009E269A" w:rsidP="00E13E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Certificación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deuda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de</w:t>
      </w:r>
      <w:r w:rsidR="003E2262"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ASUME</w:t>
      </w:r>
      <w:r w:rsidR="00134E11" w:rsidRPr="00E13E0E">
        <w:rPr>
          <w:rFonts w:asciiTheme="majorHAnsi" w:hAnsiTheme="majorHAnsi" w:cstheme="majorHAnsi"/>
          <w:b/>
          <w:i/>
          <w:sz w:val="24"/>
          <w:szCs w:val="24"/>
          <w:u w:val="single"/>
          <w:lang w:val="pt-BR"/>
        </w:rPr>
        <w:t>-</w:t>
      </w:r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s</w:t>
      </w:r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i </w:t>
      </w:r>
      <w:proofErr w:type="spellStart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certificaci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ó</w:t>
      </w:r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n</w:t>
      </w:r>
      <w:proofErr w:type="spellEnd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0B2E99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indica que </w:t>
      </w:r>
      <w:proofErr w:type="spellStart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tiene</w:t>
      </w:r>
      <w:proofErr w:type="spellEnd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obligacion</w:t>
      </w:r>
      <w:proofErr w:type="spellEnd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</w:t>
      </w:r>
      <w:r w:rsidR="000B2E99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pago y tiene balance debe estar al dia igual que el balance adeudado. </w:t>
      </w:r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Cada certificación establece la vigencia de 30 a 90 días.</w:t>
      </w:r>
    </w:p>
    <w:p w:rsidR="0045706C" w:rsidRPr="00E13E0E" w:rsidRDefault="0045706C" w:rsidP="004570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45706C" w:rsidRPr="00E13E0E" w:rsidRDefault="003E2262" w:rsidP="0045706C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Certificado de Antecedentes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Penales</w:t>
      </w:r>
      <w:proofErr w:type="spellEnd"/>
      <w:r w:rsidR="00134E11" w:rsidRPr="00E13E0E">
        <w:rPr>
          <w:rFonts w:asciiTheme="majorHAnsi" w:hAnsiTheme="majorHAnsi" w:cstheme="majorHAnsi"/>
          <w:b/>
          <w:i/>
          <w:sz w:val="24"/>
          <w:szCs w:val="24"/>
          <w:u w:val="single"/>
          <w:lang w:val="pt-BR"/>
        </w:rPr>
        <w:t>-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vigencia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del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documento es de 30 días.</w:t>
      </w:r>
    </w:p>
    <w:p w:rsidR="007F4068" w:rsidRPr="00E13E0E" w:rsidRDefault="007F4068" w:rsidP="007F4068">
      <w:pPr>
        <w:rPr>
          <w:rFonts w:asciiTheme="majorHAnsi" w:hAnsiTheme="majorHAnsi" w:cstheme="majorHAnsi"/>
          <w:sz w:val="24"/>
          <w:szCs w:val="24"/>
          <w:lang w:val="pt-BR"/>
        </w:rPr>
      </w:pPr>
    </w:p>
    <w:p w:rsidR="007F4068" w:rsidRPr="00E13E0E" w:rsidRDefault="007F4068" w:rsidP="007F4068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gram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Evidencia</w:t>
      </w:r>
      <w:proofErr w:type="gram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de Grado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obtenido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-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transcripción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cr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é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dito / diploma de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cuarto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año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ó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universidad</w:t>
      </w:r>
      <w:proofErr w:type="spellEnd"/>
    </w:p>
    <w:p w:rsidR="0045706C" w:rsidRPr="00E13E0E" w:rsidRDefault="0045706C" w:rsidP="004570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45706C" w:rsidRPr="00E13E0E" w:rsidRDefault="003E2262" w:rsidP="0045706C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Designación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del</w:t>
      </w:r>
      <w:proofErr w:type="spellEnd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</w:t>
      </w:r>
      <w:proofErr w:type="spellStart"/>
      <w:r w:rsidRPr="00441957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Asegurado</w:t>
      </w:r>
      <w:proofErr w:type="spellEnd"/>
      <w:r w:rsidR="00134E11" w:rsidRPr="00E13E0E">
        <w:rPr>
          <w:rFonts w:asciiTheme="majorHAnsi" w:hAnsiTheme="majorHAnsi" w:cstheme="majorHAnsi"/>
          <w:b/>
          <w:i/>
          <w:sz w:val="24"/>
          <w:szCs w:val="24"/>
          <w:u w:val="single"/>
          <w:lang w:val="pt-BR"/>
        </w:rPr>
        <w:t xml:space="preserve"> -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vigencia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del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documento es de 30 días.</w:t>
      </w:r>
    </w:p>
    <w:p w:rsidR="0045706C" w:rsidRPr="00E13E0E" w:rsidRDefault="0045706C" w:rsidP="004570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E13E0E" w:rsidRDefault="00D942F0" w:rsidP="00E13E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b/>
          <w:sz w:val="24"/>
          <w:szCs w:val="24"/>
          <w:u w:val="single"/>
          <w:lang w:val="pt-BR"/>
        </w:rPr>
        <w:t>P</w:t>
      </w:r>
      <w:r w:rsidR="00134E11" w:rsidRPr="00E13E0E">
        <w:rPr>
          <w:rFonts w:asciiTheme="majorHAnsi" w:hAnsiTheme="majorHAnsi" w:cstheme="majorHAnsi"/>
          <w:b/>
          <w:sz w:val="24"/>
          <w:szCs w:val="24"/>
          <w:u w:val="single"/>
          <w:lang w:val="pt-BR"/>
        </w:rPr>
        <w:t>roductores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- si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fianza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es nueva deben entregarla en original en la OCS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. Si es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continuación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fianza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puede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enviarla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a traves de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correo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electronico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D942F0" w:rsidRPr="00E13E0E" w:rsidRDefault="00D942F0" w:rsidP="00E13E0E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45706C" w:rsidRPr="00E13E0E" w:rsidRDefault="0045706C" w:rsidP="00725945">
      <w:pPr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0B2E99" w:rsidRPr="00E13E0E" w:rsidRDefault="000B2E99" w:rsidP="000B2E99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Como solictar </w:t>
      </w:r>
      <w:r w:rsidR="003E2262" w:rsidRPr="00E13E0E">
        <w:rPr>
          <w:rFonts w:asciiTheme="majorHAnsi" w:hAnsiTheme="majorHAnsi" w:cstheme="majorHAnsi"/>
          <w:b/>
          <w:sz w:val="24"/>
          <w:szCs w:val="24"/>
          <w:lang w:val="pt-BR"/>
        </w:rPr>
        <w:t>licencia</w:t>
      </w:r>
      <w:r w:rsidR="0045706C" w:rsidRPr="00E13E0E">
        <w:rPr>
          <w:rFonts w:asciiTheme="majorHAnsi" w:hAnsiTheme="majorHAnsi" w:cstheme="majorHAnsi"/>
          <w:sz w:val="24"/>
          <w:szCs w:val="24"/>
          <w:lang w:val="pt-BR"/>
        </w:rPr>
        <w:t>:</w:t>
      </w:r>
    </w:p>
    <w:p w:rsidR="003E2262" w:rsidRPr="00E13E0E" w:rsidRDefault="003E2262" w:rsidP="003E2262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www.nipr.com</w:t>
      </w:r>
    </w:p>
    <w:p w:rsidR="003E2262" w:rsidRPr="00E13E0E" w:rsidRDefault="003E2262" w:rsidP="003E2262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Seleccionar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“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Apply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for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a New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License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>”</w:t>
      </w:r>
    </w:p>
    <w:p w:rsidR="003E2262" w:rsidRPr="00E13E0E" w:rsidRDefault="003E2262" w:rsidP="003E2262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Seleccione:</w:t>
      </w:r>
    </w:p>
    <w:p w:rsidR="00134E11" w:rsidRPr="00E13E0E" w:rsidRDefault="003E2262" w:rsidP="00134E11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“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Resident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Licen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se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>”</w:t>
      </w:r>
    </w:p>
    <w:p w:rsidR="003E2262" w:rsidRPr="00E13E0E" w:rsidRDefault="003E2262" w:rsidP="00134E11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“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Go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to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the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Online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Application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>”</w:t>
      </w:r>
    </w:p>
    <w:p w:rsidR="003E2262" w:rsidRPr="00E13E0E" w:rsidRDefault="003E2262" w:rsidP="003E2262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“Individual”</w:t>
      </w:r>
    </w:p>
    <w:p w:rsidR="003E2262" w:rsidRDefault="003E2262" w:rsidP="00E13E0E">
      <w:pP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Si es por primera vez debe escojer la opción del # S.S. y los dos apellidos separados por un espacio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sin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acentos,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sin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guiones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ni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ñ.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Si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obtiene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alg</w:t>
      </w:r>
      <w:r w:rsidR="00E13E0E" w:rsidRPr="00E13E0E">
        <w:rPr>
          <w:rFonts w:asciiTheme="majorHAnsi" w:hAnsiTheme="majorHAnsi" w:cstheme="majorHAnsi"/>
          <w:sz w:val="24"/>
          <w:szCs w:val="24"/>
          <w:lang w:val="pt-BR"/>
        </w:rPr>
        <w:t>ú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n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mensaje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que no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le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permite 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lastRenderedPageBreak/>
        <w:t xml:space="preserve">continuar,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puede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intentar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solicitud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utilizando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un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sólo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apellido</w:t>
      </w:r>
      <w:proofErr w:type="spellEnd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.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 De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poseer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alguna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licencia de seguros puede escoger cualquiera de las 3 opciones. </w:t>
      </w:r>
    </w:p>
    <w:p w:rsidR="00E13E0E" w:rsidRPr="00E13E0E" w:rsidRDefault="00E13E0E" w:rsidP="00E13E0E">
      <w:pP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E13E0E" w:rsidRDefault="003E2262" w:rsidP="003E2262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Debe aceptar los acuerdos y presiona “NEXT”</w:t>
      </w:r>
    </w:p>
    <w:p w:rsidR="003E2262" w:rsidRPr="00E13E0E" w:rsidRDefault="003E2262" w:rsidP="003E2262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Esc</w:t>
      </w:r>
      <w:r w:rsidR="00E13E0E" w:rsidRPr="00E13E0E">
        <w:rPr>
          <w:rFonts w:asciiTheme="majorHAnsi" w:hAnsiTheme="majorHAnsi" w:cstheme="majorHAnsi"/>
          <w:sz w:val="24"/>
          <w:szCs w:val="24"/>
          <w:lang w:val="pt-BR"/>
        </w:rPr>
        <w:t>r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iba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su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fecha de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nacimento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(MM/DM/AAAA) </w:t>
      </w:r>
    </w:p>
    <w:p w:rsidR="00DB4A40" w:rsidRPr="00E13E0E" w:rsidRDefault="003E2262" w:rsidP="00DB4A40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Presione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sobre </w:t>
      </w:r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“</w:t>
      </w:r>
      <w:proofErr w:type="spellStart"/>
      <w:proofErr w:type="gramStart"/>
      <w:r w:rsidR="00134E11" w:rsidRPr="00E13E0E">
        <w:rPr>
          <w:rFonts w:asciiTheme="majorHAnsi" w:hAnsiTheme="majorHAnsi" w:cstheme="majorHAnsi"/>
          <w:sz w:val="24"/>
          <w:szCs w:val="24"/>
          <w:lang w:val="pt-BR"/>
        </w:rPr>
        <w:t>START”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>para</w:t>
      </w:r>
      <w:proofErr w:type="spellEnd"/>
      <w:proofErr w:type="gram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comenzar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transaccion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solicitud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 licencia </w:t>
      </w:r>
    </w:p>
    <w:p w:rsidR="00DB4A40" w:rsidRPr="00E13E0E" w:rsidRDefault="00DB4A40" w:rsidP="00DB4A40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E13E0E" w:rsidRDefault="003E2262" w:rsidP="003E2262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Seleccione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>:</w:t>
      </w:r>
    </w:p>
    <w:p w:rsidR="003E2262" w:rsidRPr="00E13E0E" w:rsidRDefault="00E7241E" w:rsidP="003E2262">
      <w:pPr>
        <w:numPr>
          <w:ilvl w:val="3"/>
          <w:numId w:val="4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Product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Type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-&gt; Producer </w:t>
      </w:r>
      <w:proofErr w:type="spellStart"/>
      <w:r w:rsidR="003E2262" w:rsidRPr="00E13E0E">
        <w:rPr>
          <w:rFonts w:asciiTheme="majorHAnsi" w:hAnsiTheme="majorHAnsi" w:cstheme="majorHAnsi"/>
          <w:sz w:val="24"/>
          <w:szCs w:val="24"/>
          <w:lang w:val="pt-BR"/>
        </w:rPr>
        <w:t>Licensing</w:t>
      </w:r>
      <w:proofErr w:type="spellEnd"/>
    </w:p>
    <w:p w:rsidR="003E2262" w:rsidRPr="00E13E0E" w:rsidRDefault="003E2262" w:rsidP="003E2262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Application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Type</w:t>
      </w:r>
      <w:proofErr w:type="spell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-&gt; </w:t>
      </w:r>
      <w:proofErr w:type="spellStart"/>
      <w:r w:rsidRPr="00E13E0E">
        <w:rPr>
          <w:rFonts w:asciiTheme="majorHAnsi" w:hAnsiTheme="majorHAnsi" w:cstheme="majorHAnsi"/>
          <w:sz w:val="24"/>
          <w:szCs w:val="24"/>
          <w:lang w:val="pt-BR"/>
        </w:rPr>
        <w:t>Initial</w:t>
      </w:r>
      <w:proofErr w:type="spellEnd"/>
    </w:p>
    <w:p w:rsidR="003E2262" w:rsidRPr="00E13E0E" w:rsidRDefault="003E2262" w:rsidP="003E2262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Residency Type -&gt; Resident</w:t>
      </w:r>
    </w:p>
    <w:p w:rsidR="00DB4A40" w:rsidRPr="00E13E0E" w:rsidRDefault="00DB4A40" w:rsidP="00DB4A40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E13E0E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Presione “Next”</w:t>
      </w:r>
    </w:p>
    <w:p w:rsidR="003E2262" w:rsidRPr="00E13E0E" w:rsidRDefault="003E2262" w:rsidP="003E2262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Seleccione Puerto Rico </w:t>
      </w:r>
    </w:p>
    <w:p w:rsidR="003E2262" w:rsidRPr="00E13E0E" w:rsidRDefault="003E2262" w:rsidP="003E2262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Presione “ADD” y “Next”</w:t>
      </w:r>
    </w:p>
    <w:p w:rsidR="003E2262" w:rsidRPr="00E13E0E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Identifique el campo que indica la categoria de licencia que aspira obtener.</w:t>
      </w:r>
    </w:p>
    <w:p w:rsidR="003E2262" w:rsidRPr="00E13E0E" w:rsidRDefault="003E2262" w:rsidP="003E2262">
      <w:pPr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Seleccione línea de autoridad </w:t>
      </w:r>
    </w:p>
    <w:p w:rsidR="003E2262" w:rsidRPr="00E13E0E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Presione “Next”, la siguiente pantalla le presentará un resumen del costo de la licencia.  </w:t>
      </w:r>
    </w:p>
    <w:p w:rsidR="003E2262" w:rsidRPr="00E13E0E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Presione “Next”</w:t>
      </w:r>
    </w:p>
    <w:p w:rsidR="003E2262" w:rsidRPr="00E13E0E" w:rsidRDefault="003E2262" w:rsidP="00441957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333333"/>
          <w:sz w:val="24"/>
          <w:szCs w:val="24"/>
          <w:lang w:val="es-PR"/>
        </w:rPr>
      </w:pPr>
      <w:r w:rsidRPr="00E13E0E">
        <w:rPr>
          <w:rFonts w:asciiTheme="majorHAnsi" w:hAnsiTheme="majorHAnsi" w:cstheme="majorHAnsi"/>
          <w:noProof/>
          <w:sz w:val="24"/>
          <w:szCs w:val="24"/>
          <w:lang w:val="es-PR" w:eastAsia="es-P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306070</wp:posOffset>
            </wp:positionV>
            <wp:extent cx="114300" cy="114300"/>
            <wp:effectExtent l="0" t="0" r="0" b="0"/>
            <wp:wrapNone/>
            <wp:docPr id="1" name="Picture 1" descr="cid:image001.gif@01D2FBE3.64EF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D2FBE3.64EF7B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Menú Principal - La siguiente pantalla es la solicitud de licencia. Todas los campos </w:t>
      </w:r>
      <w:r w:rsidRPr="00E13E0E"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  <w:t>*</w:t>
      </w:r>
      <w:r w:rsidRPr="00E13E0E">
        <w:rPr>
          <w:rFonts w:asciiTheme="majorHAnsi" w:hAnsiTheme="majorHAnsi" w:cstheme="majorHAnsi"/>
          <w:b/>
          <w:color w:val="538135"/>
          <w:sz w:val="24"/>
          <w:szCs w:val="24"/>
          <w:lang w:val="pt-BR"/>
        </w:rPr>
        <w:t xml:space="preserve"> 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que están en </w:t>
      </w:r>
      <w:r w:rsidRPr="00E13E0E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pt-BR"/>
        </w:rPr>
        <w:t>ROJO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deben ser completadaos, el sistema validará todos los datos y cambiará a un     </w:t>
      </w: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</w:t>
      </w:r>
      <w:r w:rsidRPr="00E13E0E">
        <w:rPr>
          <w:rFonts w:asciiTheme="majorHAnsi" w:hAnsiTheme="majorHAnsi" w:cstheme="majorHAnsi"/>
          <w:b/>
          <w:sz w:val="24"/>
          <w:szCs w:val="24"/>
          <w:lang w:val="pt-BR"/>
        </w:rPr>
        <w:t>Los campos de “Aliases” y “Affiliations” deben dejarse en blanco</w:t>
      </w: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</w:p>
    <w:p w:rsidR="003E2262" w:rsidRPr="00E13E0E" w:rsidRDefault="003E2262" w:rsidP="00441957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color w:val="333333"/>
          <w:sz w:val="24"/>
          <w:szCs w:val="24"/>
          <w:lang w:val="es-PR"/>
        </w:rPr>
      </w:pP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Revise su s</w:t>
      </w:r>
      <w:r w:rsidR="00D825F2"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olicitud de activación de licencia</w:t>
      </w: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, presiona “NEXT”. Si usted es quien </w:t>
      </w:r>
      <w:r w:rsidR="000B2E99"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está</w:t>
      </w: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solicitando la licencia seleccione “</w:t>
      </w:r>
      <w:proofErr w:type="spellStart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Myself</w:t>
      </w:r>
      <w:proofErr w:type="spellEnd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”, de no ser así selecciona “</w:t>
      </w:r>
      <w:proofErr w:type="spellStart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Someone</w:t>
      </w:r>
      <w:proofErr w:type="spellEnd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</w:t>
      </w:r>
      <w:proofErr w:type="spellStart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Else</w:t>
      </w:r>
      <w:proofErr w:type="spellEnd"/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” y completa la </w:t>
      </w:r>
      <w:r w:rsidR="000B2E99"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información</w:t>
      </w: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requerida. </w:t>
      </w:r>
    </w:p>
    <w:p w:rsidR="003E2262" w:rsidRPr="00E13E0E" w:rsidRDefault="003E2262" w:rsidP="003E2262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333333"/>
          <w:sz w:val="24"/>
          <w:szCs w:val="24"/>
          <w:lang w:val="es-PR"/>
        </w:rPr>
      </w:pPr>
      <w:r w:rsidRPr="00E13E0E">
        <w:rPr>
          <w:rFonts w:asciiTheme="majorHAnsi" w:hAnsiTheme="majorHAnsi" w:cstheme="majorHAnsi"/>
          <w:color w:val="333333"/>
          <w:sz w:val="24"/>
          <w:szCs w:val="24"/>
          <w:lang w:val="es-PR"/>
        </w:rPr>
        <w:t>Revise y acepte la declaración de la información</w:t>
      </w:r>
    </w:p>
    <w:p w:rsidR="0045706C" w:rsidRPr="00E13E0E" w:rsidRDefault="003E2262" w:rsidP="0045706C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>Presione “Next” y registre su correo electrónico</w:t>
      </w:r>
      <w:r w:rsidR="0045706C" w:rsidRPr="00E13E0E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45706C" w:rsidRPr="00E13E0E" w:rsidRDefault="0045706C" w:rsidP="0045706C">
      <w:pPr>
        <w:spacing w:line="276" w:lineRule="auto"/>
        <w:ind w:left="1080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E13E0E" w:rsidRDefault="003E2262" w:rsidP="00441957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b/>
          <w:color w:val="333333"/>
          <w:sz w:val="24"/>
          <w:szCs w:val="24"/>
          <w:lang w:val="es-PR"/>
        </w:rPr>
        <w:t>Una vez completado el pago, imprima el recibo de la transacción de NIPR y envíe todos</w:t>
      </w:r>
      <w:r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los documentos requeridos</w:t>
      </w:r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</w:t>
      </w:r>
      <w:proofErr w:type="spellStart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>con</w:t>
      </w:r>
      <w:proofErr w:type="spellEnd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</w:t>
      </w:r>
      <w:proofErr w:type="spellStart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>copia</w:t>
      </w:r>
      <w:proofErr w:type="spellEnd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</w:t>
      </w:r>
      <w:proofErr w:type="spellStart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>del</w:t>
      </w:r>
      <w:proofErr w:type="spellEnd"/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recibo a</w:t>
      </w:r>
      <w:r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</w:t>
      </w:r>
      <w:hyperlink r:id="rId8" w:history="1">
        <w:r w:rsidR="00D942F0" w:rsidRPr="00E13E0E">
          <w:rPr>
            <w:rStyle w:val="Hyperlink"/>
            <w:rFonts w:asciiTheme="majorHAnsi" w:hAnsiTheme="majorHAnsi" w:cstheme="majorHAnsi"/>
            <w:b/>
            <w:sz w:val="24"/>
            <w:szCs w:val="24"/>
            <w:lang w:val="pt-BR"/>
          </w:rPr>
          <w:t>cumplimiento@ocs.pr.gov</w:t>
        </w:r>
      </w:hyperlink>
      <w:r w:rsidR="00D942F0" w:rsidRPr="00E13E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</w:t>
      </w:r>
    </w:p>
    <w:p w:rsidR="003E2262" w:rsidRPr="00E13E0E" w:rsidRDefault="003E2262" w:rsidP="003E2262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pt-BR"/>
        </w:rPr>
      </w:pPr>
    </w:p>
    <w:p w:rsidR="00DB4A40" w:rsidRPr="00925372" w:rsidRDefault="003E2262" w:rsidP="00DB4A40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925372">
        <w:rPr>
          <w:rFonts w:asciiTheme="majorHAnsi" w:hAnsiTheme="majorHAnsi" w:cstheme="majorHAnsi"/>
          <w:b/>
          <w:sz w:val="24"/>
          <w:szCs w:val="24"/>
          <w:lang w:val="pt-BR"/>
        </w:rPr>
        <w:t>IMPRIMIR LA LICENCIA:</w:t>
      </w:r>
    </w:p>
    <w:p w:rsidR="003E2262" w:rsidRPr="00E13E0E" w:rsidRDefault="003E2262" w:rsidP="003E2262">
      <w:pPr>
        <w:spacing w:line="276" w:lineRule="auto"/>
        <w:ind w:left="720"/>
        <w:rPr>
          <w:rFonts w:asciiTheme="majorHAnsi" w:hAnsiTheme="majorHAnsi" w:cstheme="majorHAnsi"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Para imprimir la licencia deberá presionar el siguiente enlace y completar las casillas que aparecen </w:t>
      </w:r>
      <w:proofErr w:type="gramStart"/>
      <w:r w:rsidRPr="00E13E0E">
        <w:rPr>
          <w:rFonts w:asciiTheme="majorHAnsi" w:hAnsiTheme="majorHAnsi" w:cstheme="majorHAnsi"/>
          <w:sz w:val="24"/>
          <w:szCs w:val="24"/>
          <w:lang w:val="pt-BR"/>
        </w:rPr>
        <w:t>con  la</w:t>
      </w:r>
      <w:proofErr w:type="gramEnd"/>
      <w:r w:rsidRPr="00E13E0E">
        <w:rPr>
          <w:rFonts w:asciiTheme="majorHAnsi" w:hAnsiTheme="majorHAnsi" w:cstheme="majorHAnsi"/>
          <w:sz w:val="24"/>
          <w:szCs w:val="24"/>
          <w:lang w:val="pt-BR"/>
        </w:rPr>
        <w:t xml:space="preserve"> información que le corresponde</w:t>
      </w:r>
    </w:p>
    <w:p w:rsidR="00725945" w:rsidRPr="00E13E0E" w:rsidRDefault="003E2262" w:rsidP="003E2262">
      <w:pPr>
        <w:spacing w:line="276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E13E0E">
        <w:rPr>
          <w:rFonts w:asciiTheme="majorHAnsi" w:hAnsiTheme="majorHAnsi" w:cstheme="majorHAnsi"/>
          <w:b/>
          <w:sz w:val="24"/>
          <w:szCs w:val="24"/>
          <w:lang w:val="pt-BR"/>
        </w:rPr>
        <w:tab/>
      </w:r>
      <w:hyperlink r:id="rId9" w:history="1">
        <w:r w:rsidR="00725945" w:rsidRPr="00E13E0E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>https://sbs.naic.org/solar-external-lookup/license-manager</w:t>
        </w:r>
      </w:hyperlink>
    </w:p>
    <w:p w:rsidR="00725945" w:rsidRPr="00E13E0E" w:rsidRDefault="00725945" w:rsidP="00725945">
      <w:pPr>
        <w:spacing w:line="276" w:lineRule="auto"/>
        <w:ind w:firstLine="720"/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pt-BR"/>
        </w:rPr>
      </w:pPr>
      <w:r w:rsidRPr="00E13E0E">
        <w:rPr>
          <w:rFonts w:asciiTheme="majorHAnsi" w:hAnsiTheme="majorHAnsi" w:cstheme="majorHAnsi"/>
          <w:b/>
          <w:color w:val="FF0000"/>
          <w:sz w:val="24"/>
          <w:szCs w:val="24"/>
          <w:highlight w:val="yellow"/>
          <w:u w:val="single"/>
          <w:lang w:val="pt-BR"/>
        </w:rPr>
        <w:t>RECUERDE QUE DEBE ESCRIBIR LOS DOS APELLIDOS SIN ACENTO Y SIN Ñ</w:t>
      </w:r>
      <w:r w:rsidRPr="00E13E0E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pt-BR"/>
        </w:rPr>
        <w:t xml:space="preserve"> </w:t>
      </w:r>
    </w:p>
    <w:sectPr w:rsidR="00725945" w:rsidRPr="00E13E0E" w:rsidSect="0044195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4EA"/>
    <w:multiLevelType w:val="hybridMultilevel"/>
    <w:tmpl w:val="FA2E76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8E34BD"/>
    <w:multiLevelType w:val="hybridMultilevel"/>
    <w:tmpl w:val="5896C5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4344"/>
    <w:multiLevelType w:val="hybridMultilevel"/>
    <w:tmpl w:val="21424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E2C"/>
    <w:multiLevelType w:val="hybridMultilevel"/>
    <w:tmpl w:val="ABBCCF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00111"/>
    <w:multiLevelType w:val="hybridMultilevel"/>
    <w:tmpl w:val="527248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97508"/>
    <w:multiLevelType w:val="hybridMultilevel"/>
    <w:tmpl w:val="150CC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25D"/>
    <w:multiLevelType w:val="hybridMultilevel"/>
    <w:tmpl w:val="443C2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134EBE"/>
    <w:multiLevelType w:val="hybridMultilevel"/>
    <w:tmpl w:val="2BB2B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9E7706E"/>
    <w:multiLevelType w:val="hybridMultilevel"/>
    <w:tmpl w:val="216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91301"/>
    <w:multiLevelType w:val="hybridMultilevel"/>
    <w:tmpl w:val="A35C9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C5177"/>
    <w:multiLevelType w:val="hybridMultilevel"/>
    <w:tmpl w:val="17489C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B4D7A"/>
    <w:multiLevelType w:val="hybridMultilevel"/>
    <w:tmpl w:val="22707B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79E3E7B"/>
    <w:multiLevelType w:val="hybridMultilevel"/>
    <w:tmpl w:val="9EC6A7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62"/>
    <w:rsid w:val="00056527"/>
    <w:rsid w:val="000B2E99"/>
    <w:rsid w:val="00134E11"/>
    <w:rsid w:val="003E2262"/>
    <w:rsid w:val="00441957"/>
    <w:rsid w:val="0045706C"/>
    <w:rsid w:val="00531BE2"/>
    <w:rsid w:val="005642E2"/>
    <w:rsid w:val="006D58E9"/>
    <w:rsid w:val="00700B85"/>
    <w:rsid w:val="00725945"/>
    <w:rsid w:val="007F4068"/>
    <w:rsid w:val="008030F2"/>
    <w:rsid w:val="00925372"/>
    <w:rsid w:val="009E269A"/>
    <w:rsid w:val="00CD0F92"/>
    <w:rsid w:val="00D825F2"/>
    <w:rsid w:val="00D942F0"/>
    <w:rsid w:val="00DB4A40"/>
    <w:rsid w:val="00E13E0E"/>
    <w:rsid w:val="00E300E6"/>
    <w:rsid w:val="00E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D3E46-2B64-4450-A45B-BC70954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2262"/>
    <w:pPr>
      <w:keepNext/>
      <w:jc w:val="center"/>
      <w:outlineLvl w:val="0"/>
    </w:pPr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26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3E2262"/>
    <w:rPr>
      <w:rFonts w:ascii="CG Times" w:eastAsia="Times New Roman" w:hAnsi="CG Times" w:cs="Times New Roman"/>
      <w:b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2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F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mplimiento@ocs.pr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cid:image001.gif@01D2FBE3.64EF7B9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bs.naic.org/solar-external-lookup/license-manage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0f9a37-d5d4-403e-a0de-8e0e72481b0e">
      <UserInfo>
        <DisplayName/>
        <AccountId xsi:nil="true"/>
        <AccountType/>
      </UserInfo>
    </SharedWithUsers>
    <_ip_UnifiedCompliancePolicyUIAction xmlns="http://schemas.microsoft.com/sharepoint/v3" xsi:nil="true"/>
    <TaxCatchAll xmlns="2e0f9a37-d5d4-403e-a0de-8e0e72481b0e" xsi:nil="true"/>
    <lcf76f155ced4ddcb4097134ff3c332f xmlns="6ea6a792-ef83-4575-af34-288d3fd4cb51">
      <Terms xmlns="http://schemas.microsoft.com/office/infopath/2007/PartnerControls"/>
    </lcf76f155ced4ddcb4097134ff3c332f>
    <Enlace_x002d_Alterno xmlns="6ea6a792-ef83-4575-af34-288d3fd4cb51" xsi:nil="true"/>
    <NumericOrder xmlns="6ea6a792-ef83-4575-af34-288d3fd4cb51" xsi:nil="true"/>
    <_ip_UnifiedCompliancePolicyProperties xmlns="http://schemas.microsoft.com/sharepoint/v3" xsi:nil="true"/>
    <EnlaceWebflow xmlns="6ea6a792-ef83-4575-af34-288d3fd4cb51">
      <Url xsi:nil="true"/>
      <Description xsi:nil="true"/>
    </EnlaceWebflo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17D3EE593A8A4D9AAE3F2AD010A0BC" ma:contentTypeVersion="19" ma:contentTypeDescription="Crear nuevo documento." ma:contentTypeScope="" ma:versionID="ea85ef7c28ab241de8d39268b42cbddf">
  <xsd:schema xmlns:xsd="http://www.w3.org/2001/XMLSchema" xmlns:xs="http://www.w3.org/2001/XMLSchema" xmlns:p="http://schemas.microsoft.com/office/2006/metadata/properties" xmlns:ns1="http://schemas.microsoft.com/sharepoint/v3" xmlns:ns2="6ea6a792-ef83-4575-af34-288d3fd4cb51" xmlns:ns3="2e0f9a37-d5d4-403e-a0de-8e0e72481b0e" targetNamespace="http://schemas.microsoft.com/office/2006/metadata/properties" ma:root="true" ma:fieldsID="817bb4da42b761b56a6fc1d542676c38" ns1:_="" ns2:_="" ns3:_="">
    <xsd:import namespace="http://schemas.microsoft.com/sharepoint/v3"/>
    <xsd:import namespace="6ea6a792-ef83-4575-af34-288d3fd4cb51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EnlaceWebflow" minOccurs="0"/>
                <xsd:element ref="ns2:NumericOr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Enlace_x002d_Alterno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792-ef83-4575-af34-288d3fd4cb51" elementFormDefault="qualified">
    <xsd:import namespace="http://schemas.microsoft.com/office/2006/documentManagement/types"/>
    <xsd:import namespace="http://schemas.microsoft.com/office/infopath/2007/PartnerControls"/>
    <xsd:element name="EnlaceWebflow" ma:index="8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icOrder" ma:index="9" nillable="true" ma:displayName="NumericOrder" ma:format="Dropdown" ma:internalName="NumericOrder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nlace_x002d_Alterno" ma:index="23" nillable="true" ma:displayName="Enlace-Alterno (WEBFLOW)" ma:format="Dropdown" ma:internalName="Enlace_x002d_Alterno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B883D-E38B-4952-A37C-FF9D0F471A59}"/>
</file>

<file path=customXml/itemProps2.xml><?xml version="1.0" encoding="utf-8"?>
<ds:datastoreItem xmlns:ds="http://schemas.openxmlformats.org/officeDocument/2006/customXml" ds:itemID="{211062E8-6B8F-4F57-ACB3-FFD4926D8F80}"/>
</file>

<file path=customXml/itemProps3.xml><?xml version="1.0" encoding="utf-8"?>
<ds:datastoreItem xmlns:ds="http://schemas.openxmlformats.org/officeDocument/2006/customXml" ds:itemID="{B73DC8EC-7DB5-4B55-AFBD-775D91250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Rodriguez Lugo</dc:creator>
  <cp:keywords/>
  <dc:description/>
  <cp:lastModifiedBy>Itsia E. Rosario Valle</cp:lastModifiedBy>
  <cp:revision>9</cp:revision>
  <cp:lastPrinted>2018-04-16T13:48:00Z</cp:lastPrinted>
  <dcterms:created xsi:type="dcterms:W3CDTF">2018-04-10T19:45:00Z</dcterms:created>
  <dcterms:modified xsi:type="dcterms:W3CDTF">2020-10-22T08:59:00Z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0x0101004517D3EE593A8A4D9AAE3F2AD010A0BC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