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FF2" w:rsidRPr="003213D6" w:rsidRDefault="00BC6FF2" w:rsidP="00BC6FF2">
      <w:pPr>
        <w:spacing w:after="0"/>
        <w:jc w:val="center"/>
        <w:rPr>
          <w:b/>
          <w:sz w:val="36"/>
          <w:szCs w:val="36"/>
          <w:lang w:val="es-PR"/>
        </w:rPr>
      </w:pPr>
      <w:r w:rsidRPr="003213D6">
        <w:rPr>
          <w:b/>
          <w:sz w:val="36"/>
          <w:szCs w:val="36"/>
          <w:lang w:val="es-PR"/>
        </w:rPr>
        <w:t>Puertos adquiere nueva flota de 17 unidades</w:t>
      </w:r>
    </w:p>
    <w:p w:rsidR="00BC6FF2" w:rsidRPr="003213D6" w:rsidRDefault="00BC6FF2" w:rsidP="00BC6FF2">
      <w:pPr>
        <w:jc w:val="center"/>
        <w:rPr>
          <w:i/>
          <w:sz w:val="28"/>
          <w:szCs w:val="28"/>
          <w:lang w:val="es-PR"/>
        </w:rPr>
      </w:pPr>
      <w:r w:rsidRPr="003213D6">
        <w:rPr>
          <w:i/>
          <w:sz w:val="28"/>
          <w:szCs w:val="28"/>
          <w:lang w:val="es-PR"/>
        </w:rPr>
        <w:t>Primera inversión considerable en vehículos desde el 2002</w:t>
      </w:r>
    </w:p>
    <w:p w:rsidR="00BC6FF2" w:rsidRPr="00BC6FF2" w:rsidRDefault="00BC6FF2" w:rsidP="00BC6FF2">
      <w:pPr>
        <w:jc w:val="both"/>
        <w:rPr>
          <w:lang w:val="es-PR"/>
        </w:rPr>
      </w:pPr>
      <w:r w:rsidRPr="00BC6FF2">
        <w:rPr>
          <w:b/>
          <w:lang w:val="es-PR"/>
        </w:rPr>
        <w:t>San Juan, 26 de agosto de 2020 –</w:t>
      </w:r>
      <w:r w:rsidRPr="00BC6FF2">
        <w:rPr>
          <w:lang w:val="es-PR"/>
        </w:rPr>
        <w:t xml:space="preserve"> Gracias a una subvención de fondos federales, combinado con fondos propios de la agencia, la Autoridad de los Puertos de Puerto Rico (APPR) ha logrado adquirir una nueva flota de 17 vehículos para las áreas operacionales que actualmente tienen necesidad de esta herramienta de trabajo, anunció hoy el director ejecutivo de la APPR, Joel A. </w:t>
      </w:r>
      <w:proofErr w:type="spellStart"/>
      <w:r w:rsidRPr="00BC6FF2">
        <w:rPr>
          <w:lang w:val="es-PR"/>
        </w:rPr>
        <w:t>Pizá</w:t>
      </w:r>
      <w:proofErr w:type="spellEnd"/>
      <w:r w:rsidRPr="00BC6FF2">
        <w:rPr>
          <w:lang w:val="es-PR"/>
        </w:rPr>
        <w:t xml:space="preserve"> Batiz.</w:t>
      </w:r>
    </w:p>
    <w:p w:rsidR="00BC6FF2" w:rsidRPr="00BC6FF2" w:rsidRDefault="00BC6FF2" w:rsidP="00BC6FF2">
      <w:pPr>
        <w:jc w:val="both"/>
        <w:rPr>
          <w:lang w:val="es-PR"/>
        </w:rPr>
      </w:pPr>
      <w:r w:rsidRPr="00BC6FF2">
        <w:rPr>
          <w:lang w:val="es-PR"/>
        </w:rPr>
        <w:t>Destacando que la APPR no hacía una inversión considerable en vehículos nuevos desde el 2002, el titular de Puertos indicó que las áreas operacionales de la APPR que se beneficiarán de estos nuevos vehículos son: División de Conservación; Rescate Aéreo; Negociado de Aviación; Negociado Marítimo; Dirección de Planificación, Ingeniería y Construcción; y Seguridad Interna.</w:t>
      </w:r>
    </w:p>
    <w:p w:rsidR="00BC6FF2" w:rsidRPr="00BC6FF2" w:rsidRDefault="00BC6FF2" w:rsidP="00BC6FF2">
      <w:pPr>
        <w:jc w:val="both"/>
        <w:rPr>
          <w:lang w:val="es-PR"/>
        </w:rPr>
      </w:pPr>
      <w:r w:rsidRPr="00BC6FF2">
        <w:rPr>
          <w:lang w:val="es-PR"/>
        </w:rPr>
        <w:t xml:space="preserve">“En el día de hoy nos place enormemente hacer entrega de las primeras 10 unidades nuevas que hemos adquirido para las diferentes áreas operacionales de la Agencia, las cuales llevaban años utilizando vehículos que ya habían alcanzado o excedido su vida útil y que su operación y/o reparación constituían un gasto incremental para la agencia. Sin duda esta nueva flota de vehículos será de gran utilidad para nuestros empleados, a la vez que le ahorrarán dinero a la Agencia en el costo de las reparaciones y en el tiempo perdido en las mismas”, expresó </w:t>
      </w:r>
      <w:proofErr w:type="spellStart"/>
      <w:r w:rsidRPr="00BC6FF2">
        <w:rPr>
          <w:lang w:val="es-PR"/>
        </w:rPr>
        <w:t>Pizá</w:t>
      </w:r>
      <w:proofErr w:type="spellEnd"/>
      <w:r w:rsidRPr="00BC6FF2">
        <w:rPr>
          <w:lang w:val="es-PR"/>
        </w:rPr>
        <w:t xml:space="preserve"> Batiz.</w:t>
      </w:r>
    </w:p>
    <w:p w:rsidR="00BC6FF2" w:rsidRPr="00BC6FF2" w:rsidRDefault="00BC6FF2" w:rsidP="00BC6FF2">
      <w:pPr>
        <w:jc w:val="both"/>
        <w:rPr>
          <w:lang w:val="es-PR"/>
        </w:rPr>
      </w:pPr>
      <w:r w:rsidRPr="00BC6FF2">
        <w:rPr>
          <w:lang w:val="es-PR"/>
        </w:rPr>
        <w:t xml:space="preserve">De las 10 unidades nuevas que se entregaron hoy, tres estarán asignadas a la División de Conservación; una a Rescate Aéreo; una al Negociado Marítimo; una a la Dirección de Planificación, Ingeniería y Construcción; y cuatro a Seguridad Interna. </w:t>
      </w:r>
    </w:p>
    <w:p w:rsidR="00BC6FF2" w:rsidRPr="00BC6FF2" w:rsidRDefault="00BC6FF2" w:rsidP="00BC6FF2">
      <w:pPr>
        <w:jc w:val="both"/>
        <w:rPr>
          <w:lang w:val="es-PR"/>
        </w:rPr>
      </w:pPr>
      <w:r w:rsidRPr="00BC6FF2">
        <w:rPr>
          <w:lang w:val="es-PR"/>
        </w:rPr>
        <w:t>Durante el mes de octubre se estarán entregando otras siete unidades nuevas, de las cuales cuatro estarán asignadas para cada uno de los aeropuertos regionales de Isla Grande, Ponce, Ceiba y Aguadilla.</w:t>
      </w:r>
    </w:p>
    <w:p w:rsidR="00BC6FF2" w:rsidRPr="00BC6FF2" w:rsidRDefault="00BC6FF2" w:rsidP="00BC6FF2">
      <w:pPr>
        <w:jc w:val="both"/>
        <w:rPr>
          <w:lang w:val="es-PR"/>
        </w:rPr>
      </w:pPr>
      <w:r w:rsidRPr="00BC6FF2">
        <w:rPr>
          <w:lang w:val="es-PR"/>
        </w:rPr>
        <w:t xml:space="preserve">El costo total de estas 17 unidades asciende a $517,043. Es una combinación de fondos CARES </w:t>
      </w:r>
      <w:proofErr w:type="spellStart"/>
      <w:r w:rsidRPr="00BC6FF2">
        <w:rPr>
          <w:lang w:val="es-PR"/>
        </w:rPr>
        <w:t>Act</w:t>
      </w:r>
      <w:proofErr w:type="spellEnd"/>
      <w:r w:rsidRPr="00BC6FF2">
        <w:rPr>
          <w:lang w:val="es-PR"/>
        </w:rPr>
        <w:t>, Fondos “</w:t>
      </w:r>
      <w:proofErr w:type="spellStart"/>
      <w:r w:rsidRPr="00BC6FF2">
        <w:rPr>
          <w:lang w:val="es-PR"/>
        </w:rPr>
        <w:t>Sharing</w:t>
      </w:r>
      <w:proofErr w:type="spellEnd"/>
      <w:r w:rsidRPr="00BC6FF2">
        <w:rPr>
          <w:lang w:val="es-PR"/>
        </w:rPr>
        <w:t>” y fondos propios de la Agencia.</w:t>
      </w:r>
    </w:p>
    <w:p w:rsidR="00BC6FF2" w:rsidRPr="00BC6FF2" w:rsidRDefault="00BC6FF2" w:rsidP="00BC6FF2">
      <w:pPr>
        <w:jc w:val="both"/>
        <w:rPr>
          <w:lang w:val="es-PR"/>
        </w:rPr>
      </w:pPr>
      <w:r w:rsidRPr="00BC6FF2">
        <w:rPr>
          <w:lang w:val="es-PR"/>
        </w:rPr>
        <w:t xml:space="preserve">“En adición a las diferentes obras de mejoras capitales que estamos realizando en nuestros puertos y aeropuertos, cumpliendo con las prioridades de la gobernadora Wanda Vázquez </w:t>
      </w:r>
      <w:proofErr w:type="spellStart"/>
      <w:r w:rsidRPr="00BC6FF2">
        <w:rPr>
          <w:lang w:val="es-PR"/>
        </w:rPr>
        <w:t>Garced</w:t>
      </w:r>
      <w:proofErr w:type="spellEnd"/>
      <w:r w:rsidRPr="00BC6FF2">
        <w:rPr>
          <w:lang w:val="es-PR"/>
        </w:rPr>
        <w:t xml:space="preserve">, también estamos invirtiendo en nuestro capital humano, proveyéndole nuevas herramientas de trabajo para que puedan continuar realizando su labor de una manera más segura y eficiente”, concluyó </w:t>
      </w:r>
      <w:proofErr w:type="spellStart"/>
      <w:r w:rsidRPr="00BC6FF2">
        <w:rPr>
          <w:lang w:val="es-PR"/>
        </w:rPr>
        <w:t>Pizá</w:t>
      </w:r>
      <w:proofErr w:type="spellEnd"/>
      <w:r w:rsidRPr="00BC6FF2">
        <w:rPr>
          <w:lang w:val="es-PR"/>
        </w:rPr>
        <w:t xml:space="preserve"> Batiz.</w:t>
      </w:r>
    </w:p>
    <w:p w:rsidR="00BC6FF2" w:rsidRPr="00BC6FF2" w:rsidRDefault="00BC6FF2" w:rsidP="00BC6FF2">
      <w:pPr>
        <w:ind w:left="2880" w:firstLine="720"/>
        <w:rPr>
          <w:b/>
        </w:rPr>
      </w:pPr>
      <w:r w:rsidRPr="00BC6FF2">
        <w:rPr>
          <w:b/>
          <w:lang w:val="es-PR"/>
        </w:rPr>
        <w:t xml:space="preserve">            </w:t>
      </w:r>
      <w:r w:rsidRPr="00BC6FF2">
        <w:rPr>
          <w:b/>
        </w:rPr>
        <w:t>XXX</w:t>
      </w:r>
    </w:p>
    <w:p w:rsidR="004B0083" w:rsidRDefault="00BC6FF2" w:rsidP="00BC6FF2">
      <w:pPr>
        <w:rPr>
          <w:rFonts w:ascii="Century Gothic" w:hAnsi="Century Gothic"/>
          <w:b/>
          <w:sz w:val="36"/>
          <w:szCs w:val="36"/>
          <w:lang w:val="es-PR"/>
        </w:rPr>
      </w:pPr>
      <w:bookmarkStart w:id="0" w:name="_GoBack"/>
      <w:bookmarkEnd w:id="0"/>
      <w:r>
        <w:rPr>
          <w:sz w:val="24"/>
          <w:szCs w:val="24"/>
        </w:rPr>
        <w:t>Contacto: José Carmona 787-454-0905</w:t>
      </w:r>
    </w:p>
    <w:sectPr w:rsidR="004B0083" w:rsidSect="0035512F">
      <w:footerReference w:type="default" r:id="rId8"/>
      <w:headerReference w:type="first" r:id="rId9"/>
      <w:foot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1B4" w:rsidRDefault="003701B4" w:rsidP="00B7310F">
      <w:pPr>
        <w:spacing w:after="0" w:line="240" w:lineRule="auto"/>
      </w:pPr>
      <w:r>
        <w:separator/>
      </w:r>
    </w:p>
  </w:endnote>
  <w:endnote w:type="continuationSeparator" w:id="0">
    <w:p w:rsidR="003701B4" w:rsidRDefault="003701B4" w:rsidP="00B7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wis721 WGL4 BT">
    <w:altName w:val="Arial"/>
    <w:charset w:val="00"/>
    <w:family w:val="swiss"/>
    <w:pitch w:val="variable"/>
    <w:sig w:usb0="00000001" w:usb1="00000000" w:usb2="00000000" w:usb3="00000000" w:csb0="0000009F" w:csb1="00000000"/>
  </w:font>
  <w:font w:name="Adobe Hebrew">
    <w:panose1 w:val="00000000000000000000"/>
    <w:charset w:val="00"/>
    <w:family w:val="roman"/>
    <w:notTrueType/>
    <w:pitch w:val="variable"/>
    <w:sig w:usb0="8000086F" w:usb1="4000204A"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10F" w:rsidRDefault="00B7310F">
    <w:pPr>
      <w:pStyle w:val="Footer"/>
    </w:pPr>
  </w:p>
  <w:p w:rsidR="00B7310F" w:rsidRDefault="00B73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26D" w:rsidRDefault="00D3526D" w:rsidP="0035512F">
    <w:pPr>
      <w:pStyle w:val="Footer"/>
      <w:ind w:left="-540" w:right="-360"/>
      <w:rPr>
        <w:noProof/>
        <w:lang w:val="en-US"/>
      </w:rPr>
    </w:pPr>
  </w:p>
  <w:p w:rsidR="0035512F" w:rsidRPr="00B7310F" w:rsidRDefault="0035512F" w:rsidP="0035512F">
    <w:pPr>
      <w:pStyle w:val="Footer"/>
      <w:ind w:left="-540" w:right="-360"/>
      <w:rPr>
        <w:rFonts w:ascii="Swis721 WGL4 BT" w:eastAsia="Calibri" w:hAnsi="Swis721 WGL4 BT" w:cs="Adobe Hebrew"/>
        <w:sz w:val="16"/>
        <w:szCs w:val="16"/>
        <w:lang w:val="es-PR"/>
      </w:rPr>
    </w:pPr>
    <w:r>
      <w:rPr>
        <w:noProof/>
        <w:lang w:val="en-US"/>
      </w:rPr>
      <w:drawing>
        <wp:anchor distT="0" distB="0" distL="114300" distR="114300" simplePos="0" relativeHeight="251659264" behindDoc="0" locked="0" layoutInCell="1" allowOverlap="1" wp14:anchorId="277D018B" wp14:editId="01B0FF47">
          <wp:simplePos x="0" y="0"/>
          <wp:positionH relativeFrom="column">
            <wp:posOffset>4724400</wp:posOffset>
          </wp:positionH>
          <wp:positionV relativeFrom="paragraph">
            <wp:posOffset>-6350</wp:posOffset>
          </wp:positionV>
          <wp:extent cx="1400175" cy="5715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571500"/>
                  </a:xfrm>
                  <a:prstGeom prst="rect">
                    <a:avLst/>
                  </a:prstGeom>
                  <a:noFill/>
                </pic:spPr>
              </pic:pic>
            </a:graphicData>
          </a:graphic>
          <wp14:sizeRelH relativeFrom="page">
            <wp14:pctWidth>0</wp14:pctWidth>
          </wp14:sizeRelH>
          <wp14:sizeRelV relativeFrom="page">
            <wp14:pctHeight>0</wp14:pctHeight>
          </wp14:sizeRelV>
        </wp:anchor>
      </w:drawing>
    </w:r>
  </w:p>
  <w:p w:rsidR="0035512F" w:rsidRPr="00B7310F" w:rsidRDefault="0035512F" w:rsidP="0035512F">
    <w:pPr>
      <w:tabs>
        <w:tab w:val="center" w:pos="4680"/>
        <w:tab w:val="right" w:pos="9360"/>
      </w:tabs>
      <w:spacing w:after="0" w:line="240" w:lineRule="auto"/>
      <w:ind w:left="-540"/>
      <w:rPr>
        <w:rFonts w:ascii="Swis721 WGL4 BT" w:eastAsia="Calibri" w:hAnsi="Swis721 WGL4 BT" w:cs="Adobe Hebrew"/>
        <w:sz w:val="16"/>
        <w:szCs w:val="16"/>
        <w:lang w:val="es-PR"/>
      </w:rPr>
    </w:pPr>
  </w:p>
  <w:p w:rsidR="00D3526D" w:rsidRDefault="00D3526D" w:rsidP="00D3526D">
    <w:pPr>
      <w:pStyle w:val="Footer"/>
      <w:ind w:left="-540" w:right="-360"/>
      <w:jc w:val="center"/>
      <w:rPr>
        <w:rFonts w:cs="Adobe Hebrew"/>
        <w:sz w:val="16"/>
        <w:szCs w:val="16"/>
        <w:lang w:val="es-ES_tradnl"/>
      </w:rPr>
    </w:pPr>
    <w:r>
      <w:rPr>
        <w:rFonts w:cs="Adobe Hebrew"/>
        <w:sz w:val="16"/>
        <w:szCs w:val="16"/>
        <w:lang w:val="es-ES_tradnl"/>
      </w:rPr>
      <w:t xml:space="preserve">P.O. Box 362829, San Juan, PR 00936-2829 </w:t>
    </w:r>
    <w:r>
      <w:rPr>
        <w:rFonts w:cs="Adobe Hebrew"/>
        <w:color w:val="E6BA00"/>
        <w:sz w:val="16"/>
        <w:szCs w:val="16"/>
        <w:lang w:val="es-ES_tradnl"/>
      </w:rPr>
      <w:t>•</w:t>
    </w:r>
    <w:r>
      <w:rPr>
        <w:rFonts w:cs="Adobe Hebrew"/>
        <w:sz w:val="16"/>
        <w:szCs w:val="16"/>
        <w:lang w:val="es-ES_tradnl"/>
      </w:rPr>
      <w:t xml:space="preserve"> Calle Lindbergh 64, Antigua Base Naval Miramar, San Juan, PR 00907</w:t>
    </w:r>
  </w:p>
  <w:p w:rsidR="00D3526D" w:rsidRDefault="00D3526D" w:rsidP="00D3526D">
    <w:pPr>
      <w:pStyle w:val="Footer"/>
      <w:ind w:left="-540" w:right="-360"/>
      <w:jc w:val="center"/>
      <w:rPr>
        <w:rFonts w:cs="Adobe Hebrew"/>
        <w:sz w:val="16"/>
        <w:szCs w:val="16"/>
        <w:lang w:val="es-ES_tradnl"/>
      </w:rPr>
    </w:pPr>
  </w:p>
  <w:p w:rsidR="00D3526D" w:rsidRPr="00F04411" w:rsidRDefault="00D3526D" w:rsidP="00D3526D">
    <w:pPr>
      <w:pStyle w:val="Footer"/>
      <w:ind w:left="-540" w:right="-360"/>
      <w:jc w:val="center"/>
      <w:rPr>
        <w:rFonts w:cs="Adobe Hebrew"/>
        <w:b/>
        <w:sz w:val="16"/>
        <w:szCs w:val="16"/>
        <w:lang w:val="es-PR"/>
      </w:rPr>
    </w:pPr>
    <w:r w:rsidRPr="00F04411">
      <w:rPr>
        <w:sz w:val="16"/>
        <w:szCs w:val="16"/>
        <w:lang w:val="es-PR"/>
      </w:rPr>
      <w:t>Tel. 787.729.8715 Ex</w:t>
    </w:r>
    <w:r>
      <w:rPr>
        <w:sz w:val="16"/>
        <w:szCs w:val="16"/>
        <w:lang w:val="es-PR"/>
      </w:rPr>
      <w:t>t. 227</w:t>
    </w:r>
    <w:r w:rsidR="006E7C55">
      <w:rPr>
        <w:sz w:val="16"/>
        <w:szCs w:val="16"/>
        <w:lang w:val="es-PR"/>
      </w:rPr>
      <w:t>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2" w:history="1">
      <w:r w:rsidRPr="00F04411">
        <w:rPr>
          <w:rStyle w:val="Hyperlink"/>
          <w:rFonts w:cs="Adobe Hebrew"/>
          <w:lang w:val="es-PR"/>
        </w:rPr>
        <w:t>www.prpa.pr.gov</w:t>
      </w:r>
    </w:hyperlink>
  </w:p>
  <w:p w:rsidR="0035512F" w:rsidRPr="00B7310F" w:rsidRDefault="0035512F" w:rsidP="0035512F">
    <w:pPr>
      <w:tabs>
        <w:tab w:val="center" w:pos="4680"/>
        <w:tab w:val="right" w:pos="9360"/>
      </w:tabs>
      <w:spacing w:after="0" w:line="240" w:lineRule="auto"/>
      <w:ind w:left="-540"/>
      <w:rPr>
        <w:rFonts w:ascii="Swis721 WGL4 BT" w:eastAsia="Calibri" w:hAnsi="Swis721 WGL4 BT" w:cs="Adobe Hebrew"/>
        <w:b/>
        <w:sz w:val="16"/>
        <w:szCs w:val="16"/>
        <w:lang w:val="es-PR"/>
      </w:rPr>
    </w:pPr>
  </w:p>
  <w:p w:rsidR="0035512F" w:rsidRDefault="00355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1B4" w:rsidRDefault="003701B4" w:rsidP="00B7310F">
      <w:pPr>
        <w:spacing w:after="0" w:line="240" w:lineRule="auto"/>
      </w:pPr>
      <w:r>
        <w:separator/>
      </w:r>
    </w:p>
  </w:footnote>
  <w:footnote w:type="continuationSeparator" w:id="0">
    <w:p w:rsidR="003701B4" w:rsidRDefault="003701B4" w:rsidP="00B7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23" w:rsidRDefault="00255FD2">
    <w:pPr>
      <w:pStyle w:val="Header"/>
    </w:pPr>
    <w:r>
      <w:rPr>
        <w:noProof/>
        <w:sz w:val="16"/>
        <w:szCs w:val="16"/>
        <w:lang w:val="en-US"/>
      </w:rPr>
      <w:drawing>
        <wp:inline distT="0" distB="0" distL="0" distR="0" wp14:anchorId="1835780E" wp14:editId="564B72B9">
          <wp:extent cx="3590925" cy="923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509"/>
    <w:multiLevelType w:val="hybridMultilevel"/>
    <w:tmpl w:val="706677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9F6462F"/>
    <w:multiLevelType w:val="hybridMultilevel"/>
    <w:tmpl w:val="55CCE4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59E1E93"/>
    <w:multiLevelType w:val="hybridMultilevel"/>
    <w:tmpl w:val="30D6D7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7CB7BEE"/>
    <w:multiLevelType w:val="hybridMultilevel"/>
    <w:tmpl w:val="5CCA2A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B57890"/>
    <w:multiLevelType w:val="hybridMultilevel"/>
    <w:tmpl w:val="E3C00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76195A"/>
    <w:multiLevelType w:val="hybridMultilevel"/>
    <w:tmpl w:val="2D64E56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10F"/>
    <w:rsid w:val="000416E0"/>
    <w:rsid w:val="00054477"/>
    <w:rsid w:val="00070223"/>
    <w:rsid w:val="00093609"/>
    <w:rsid w:val="00110837"/>
    <w:rsid w:val="00113BC6"/>
    <w:rsid w:val="001178C2"/>
    <w:rsid w:val="00127C80"/>
    <w:rsid w:val="00143695"/>
    <w:rsid w:val="00143FFE"/>
    <w:rsid w:val="001538C7"/>
    <w:rsid w:val="00173812"/>
    <w:rsid w:val="00174B51"/>
    <w:rsid w:val="001A101F"/>
    <w:rsid w:val="001C42E0"/>
    <w:rsid w:val="001C4849"/>
    <w:rsid w:val="001C7B08"/>
    <w:rsid w:val="001E09C3"/>
    <w:rsid w:val="00221BDD"/>
    <w:rsid w:val="002223F4"/>
    <w:rsid w:val="002241BD"/>
    <w:rsid w:val="00234FC4"/>
    <w:rsid w:val="00255FD2"/>
    <w:rsid w:val="00287C46"/>
    <w:rsid w:val="002B564D"/>
    <w:rsid w:val="002B64CA"/>
    <w:rsid w:val="002C7CB7"/>
    <w:rsid w:val="002D6473"/>
    <w:rsid w:val="00354DC8"/>
    <w:rsid w:val="0035512F"/>
    <w:rsid w:val="003701B4"/>
    <w:rsid w:val="00387C0C"/>
    <w:rsid w:val="00387C60"/>
    <w:rsid w:val="00390D63"/>
    <w:rsid w:val="003964F3"/>
    <w:rsid w:val="003A53A6"/>
    <w:rsid w:val="003B49E3"/>
    <w:rsid w:val="003C1800"/>
    <w:rsid w:val="003D40C0"/>
    <w:rsid w:val="003E6C44"/>
    <w:rsid w:val="003F5B1A"/>
    <w:rsid w:val="00404A2A"/>
    <w:rsid w:val="0046164A"/>
    <w:rsid w:val="00497F08"/>
    <w:rsid w:val="004A1F51"/>
    <w:rsid w:val="004B0083"/>
    <w:rsid w:val="004D1937"/>
    <w:rsid w:val="00516DA9"/>
    <w:rsid w:val="00554161"/>
    <w:rsid w:val="005575D7"/>
    <w:rsid w:val="00577A81"/>
    <w:rsid w:val="005A2507"/>
    <w:rsid w:val="005C3079"/>
    <w:rsid w:val="005C4D62"/>
    <w:rsid w:val="005D0D37"/>
    <w:rsid w:val="005F51E4"/>
    <w:rsid w:val="005F623F"/>
    <w:rsid w:val="005F77FD"/>
    <w:rsid w:val="00617F1D"/>
    <w:rsid w:val="00637531"/>
    <w:rsid w:val="00640736"/>
    <w:rsid w:val="006575F7"/>
    <w:rsid w:val="00660985"/>
    <w:rsid w:val="006833FF"/>
    <w:rsid w:val="00691559"/>
    <w:rsid w:val="006A0459"/>
    <w:rsid w:val="006D029D"/>
    <w:rsid w:val="006D5BEB"/>
    <w:rsid w:val="006E7C55"/>
    <w:rsid w:val="0072476B"/>
    <w:rsid w:val="00736110"/>
    <w:rsid w:val="00737B43"/>
    <w:rsid w:val="00747DFB"/>
    <w:rsid w:val="0076620E"/>
    <w:rsid w:val="007A2B4B"/>
    <w:rsid w:val="007B2F1E"/>
    <w:rsid w:val="007F3F8B"/>
    <w:rsid w:val="008245B0"/>
    <w:rsid w:val="0086642D"/>
    <w:rsid w:val="008704C8"/>
    <w:rsid w:val="00871B93"/>
    <w:rsid w:val="008E0290"/>
    <w:rsid w:val="008E502C"/>
    <w:rsid w:val="0090469A"/>
    <w:rsid w:val="00910556"/>
    <w:rsid w:val="00920C5F"/>
    <w:rsid w:val="00932A75"/>
    <w:rsid w:val="0096565B"/>
    <w:rsid w:val="009760A9"/>
    <w:rsid w:val="009D341C"/>
    <w:rsid w:val="009F281C"/>
    <w:rsid w:val="009F7ECF"/>
    <w:rsid w:val="00A47C27"/>
    <w:rsid w:val="00A87960"/>
    <w:rsid w:val="00A945AE"/>
    <w:rsid w:val="00A96B6E"/>
    <w:rsid w:val="00AC45A8"/>
    <w:rsid w:val="00AC7633"/>
    <w:rsid w:val="00AD2198"/>
    <w:rsid w:val="00AD2FA6"/>
    <w:rsid w:val="00AE23E3"/>
    <w:rsid w:val="00AE779D"/>
    <w:rsid w:val="00B03B54"/>
    <w:rsid w:val="00B359DA"/>
    <w:rsid w:val="00B7310F"/>
    <w:rsid w:val="00B835DE"/>
    <w:rsid w:val="00B96815"/>
    <w:rsid w:val="00BA5D6E"/>
    <w:rsid w:val="00BC6DBC"/>
    <w:rsid w:val="00BC6FF2"/>
    <w:rsid w:val="00BD25A4"/>
    <w:rsid w:val="00BE29A3"/>
    <w:rsid w:val="00BF61F2"/>
    <w:rsid w:val="00C132F2"/>
    <w:rsid w:val="00C265B0"/>
    <w:rsid w:val="00C2724F"/>
    <w:rsid w:val="00C33B14"/>
    <w:rsid w:val="00C36807"/>
    <w:rsid w:val="00C84F83"/>
    <w:rsid w:val="00CA0814"/>
    <w:rsid w:val="00CA3789"/>
    <w:rsid w:val="00CC4F85"/>
    <w:rsid w:val="00D0277E"/>
    <w:rsid w:val="00D027F8"/>
    <w:rsid w:val="00D076D9"/>
    <w:rsid w:val="00D3526D"/>
    <w:rsid w:val="00DB6C0F"/>
    <w:rsid w:val="00DD0B74"/>
    <w:rsid w:val="00DE1DBE"/>
    <w:rsid w:val="00E07E0F"/>
    <w:rsid w:val="00E85165"/>
    <w:rsid w:val="00EB555F"/>
    <w:rsid w:val="00EC0D52"/>
    <w:rsid w:val="00ED05F5"/>
    <w:rsid w:val="00F44FF2"/>
    <w:rsid w:val="00F93287"/>
    <w:rsid w:val="00FC0593"/>
    <w:rsid w:val="00FC3EF7"/>
    <w:rsid w:val="00FE3B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EC50B"/>
  <w15:docId w15:val="{0EEC748B-6D23-4379-9BA4-BB02BBA1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3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10F"/>
    <w:rPr>
      <w:rFonts w:ascii="Tahoma" w:hAnsi="Tahoma" w:cs="Tahoma"/>
      <w:sz w:val="16"/>
      <w:szCs w:val="16"/>
    </w:rPr>
  </w:style>
  <w:style w:type="paragraph" w:styleId="Header">
    <w:name w:val="header"/>
    <w:basedOn w:val="Normal"/>
    <w:link w:val="HeaderChar"/>
    <w:uiPriority w:val="99"/>
    <w:unhideWhenUsed/>
    <w:rsid w:val="00B73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10F"/>
  </w:style>
  <w:style w:type="paragraph" w:styleId="Footer">
    <w:name w:val="footer"/>
    <w:basedOn w:val="Normal"/>
    <w:link w:val="FooterChar"/>
    <w:uiPriority w:val="99"/>
    <w:unhideWhenUsed/>
    <w:rsid w:val="00B73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10F"/>
  </w:style>
  <w:style w:type="table" w:styleId="TableGrid">
    <w:name w:val="Table Grid"/>
    <w:basedOn w:val="TableNormal"/>
    <w:uiPriority w:val="59"/>
    <w:rsid w:val="0035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12F"/>
    <w:pPr>
      <w:ind w:left="720"/>
      <w:contextualSpacing/>
    </w:pPr>
  </w:style>
  <w:style w:type="paragraph" w:styleId="FootnoteText">
    <w:name w:val="footnote text"/>
    <w:basedOn w:val="Normal"/>
    <w:link w:val="FootnoteTextChar"/>
    <w:uiPriority w:val="99"/>
    <w:semiHidden/>
    <w:unhideWhenUsed/>
    <w:rsid w:val="003551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12F"/>
    <w:rPr>
      <w:sz w:val="20"/>
      <w:szCs w:val="20"/>
    </w:rPr>
  </w:style>
  <w:style w:type="character" w:styleId="FootnoteReference">
    <w:name w:val="footnote reference"/>
    <w:basedOn w:val="DefaultParagraphFont"/>
    <w:uiPriority w:val="99"/>
    <w:semiHidden/>
    <w:unhideWhenUsed/>
    <w:rsid w:val="0035512F"/>
    <w:rPr>
      <w:vertAlign w:val="superscript"/>
    </w:rPr>
  </w:style>
  <w:style w:type="paragraph" w:styleId="NoSpacing">
    <w:name w:val="No Spacing"/>
    <w:uiPriority w:val="1"/>
    <w:qFormat/>
    <w:rsid w:val="00CA3789"/>
    <w:pPr>
      <w:spacing w:after="0" w:line="240" w:lineRule="auto"/>
    </w:pPr>
    <w:rPr>
      <w:lang w:val="en-US"/>
    </w:rPr>
  </w:style>
  <w:style w:type="character" w:styleId="Hyperlink">
    <w:name w:val="Hyperlink"/>
    <w:unhideWhenUsed/>
    <w:rsid w:val="00D35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s://prpa.pr.gov/"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https://docs.pr.gov/files/Puertos/Noticias/CP%20-%20Puertos%20adquiere%20nueva%20flota%20de%2017%20unidades.docx?d=wad72beed472847e4b5b490a5b4d75205</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EE78F6-243D-4765-8297-0672936E2DFF}"/>
</file>

<file path=customXml/itemProps2.xml><?xml version="1.0" encoding="utf-8"?>
<ds:datastoreItem xmlns:ds="http://schemas.openxmlformats.org/officeDocument/2006/customXml" ds:itemID="{90EC64E6-C0E1-4F69-A5B5-F478DC990FE3}"/>
</file>

<file path=customXml/itemProps3.xml><?xml version="1.0" encoding="utf-8"?>
<ds:datastoreItem xmlns:ds="http://schemas.openxmlformats.org/officeDocument/2006/customXml" ds:itemID="{B8B22C47-91BF-413C-A33C-09BFAF209439}"/>
</file>

<file path=customXml/itemProps4.xml><?xml version="1.0" encoding="utf-8"?>
<ds:datastoreItem xmlns:ds="http://schemas.openxmlformats.org/officeDocument/2006/customXml" ds:itemID="{94DA6D68-CACE-49B5-B92F-403615F65588}"/>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- 2020-8-26 - Puertos adquiere nueva flota de 17 unidades</dc:title>
  <dc:creator>Mayra L. Montanez Martínez</dc:creator>
  <cp:lastModifiedBy>Jose L. Carmona Arcia</cp:lastModifiedBy>
  <cp:revision>3</cp:revision>
  <cp:lastPrinted>2020-06-26T16:43:00Z</cp:lastPrinted>
  <dcterms:created xsi:type="dcterms:W3CDTF">2020-08-26T13:44:00Z</dcterms:created>
  <dcterms:modified xsi:type="dcterms:W3CDTF">2020-08-26T13:44:00Z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