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2A" w:rsidRPr="00BF5F2A" w:rsidRDefault="00BF5F2A" w:rsidP="00BF5F2A">
      <w:pPr>
        <w:widowControl w:val="0"/>
        <w:autoSpaceDE w:val="0"/>
        <w:autoSpaceDN w:val="0"/>
        <w:adjustRightInd w:val="0"/>
        <w:spacing w:after="0" w:line="240" w:lineRule="auto"/>
        <w:jc w:val="center"/>
        <w:rPr>
          <w:rFonts w:ascii="Arial" w:eastAsia="Times New Roman" w:hAnsi="Arial" w:cs="Arial"/>
          <w:b/>
          <w:bCs/>
          <w:sz w:val="36"/>
          <w:szCs w:val="48"/>
        </w:rPr>
      </w:pPr>
      <w:r w:rsidRPr="00BF5F2A">
        <w:rPr>
          <w:rFonts w:ascii="Arial" w:eastAsia="Times New Roman" w:hAnsi="Arial" w:cs="Arial"/>
          <w:b/>
          <w:bCs/>
          <w:sz w:val="36"/>
          <w:szCs w:val="48"/>
        </w:rPr>
        <w:t>Política Pública</w:t>
      </w:r>
    </w:p>
    <w:p w:rsidR="00BF5F2A" w:rsidRPr="00BF5F2A" w:rsidRDefault="00BF5F2A" w:rsidP="00BF5F2A">
      <w:pPr>
        <w:widowControl w:val="0"/>
        <w:autoSpaceDE w:val="0"/>
        <w:autoSpaceDN w:val="0"/>
        <w:adjustRightInd w:val="0"/>
        <w:spacing w:after="0" w:line="240" w:lineRule="auto"/>
        <w:jc w:val="center"/>
        <w:rPr>
          <w:rFonts w:ascii="Arial" w:eastAsia="Times New Roman" w:hAnsi="Arial" w:cs="Arial"/>
          <w:b/>
          <w:bCs/>
          <w:sz w:val="36"/>
          <w:szCs w:val="48"/>
        </w:rPr>
      </w:pPr>
      <w:r w:rsidRPr="00BF5F2A">
        <w:rPr>
          <w:rFonts w:ascii="Arial" w:eastAsia="Times New Roman" w:hAnsi="Arial" w:cs="Arial"/>
          <w:b/>
          <w:bCs/>
          <w:sz w:val="36"/>
          <w:szCs w:val="48"/>
        </w:rPr>
        <w:t>Sección 3</w:t>
      </w:r>
    </w:p>
    <w:p w:rsidR="00BF5F2A" w:rsidRPr="00BF5F2A" w:rsidRDefault="00BF5F2A" w:rsidP="00BF5F2A">
      <w:pPr>
        <w:widowControl w:val="0"/>
        <w:autoSpaceDE w:val="0"/>
        <w:autoSpaceDN w:val="0"/>
        <w:adjustRightInd w:val="0"/>
        <w:spacing w:after="0" w:line="240" w:lineRule="auto"/>
        <w:ind w:left="40"/>
        <w:jc w:val="center"/>
        <w:rPr>
          <w:rFonts w:ascii="Arial" w:eastAsia="Times New Roman" w:hAnsi="Arial" w:cs="Arial"/>
          <w:b/>
          <w:bCs/>
          <w:sz w:val="36"/>
          <w:szCs w:val="40"/>
        </w:rPr>
      </w:pPr>
      <w:r w:rsidRPr="00BF5F2A">
        <w:rPr>
          <w:rFonts w:ascii="Arial" w:eastAsia="Times New Roman" w:hAnsi="Arial" w:cs="Arial"/>
          <w:b/>
          <w:bCs/>
          <w:sz w:val="36"/>
          <w:szCs w:val="40"/>
        </w:rPr>
        <w:t>24 CFR 961, 963</w:t>
      </w:r>
    </w:p>
    <w:p w:rsidR="00BF5F2A" w:rsidRPr="00BF5F2A" w:rsidRDefault="00BF5F2A" w:rsidP="00BF5F2A">
      <w:pPr>
        <w:widowControl w:val="0"/>
        <w:autoSpaceDE w:val="0"/>
        <w:autoSpaceDN w:val="0"/>
        <w:adjustRightInd w:val="0"/>
        <w:spacing w:after="0" w:line="240" w:lineRule="auto"/>
        <w:ind w:left="40"/>
        <w:jc w:val="center"/>
        <w:rPr>
          <w:rFonts w:ascii="Arial" w:eastAsia="Times New Roman" w:hAnsi="Arial" w:cs="Arial"/>
          <w:b/>
          <w:bCs/>
          <w:sz w:val="36"/>
          <w:szCs w:val="40"/>
        </w:rPr>
      </w:pP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t>La Sección 3 del Acta de Vivienda de 1963, según enmendada por el Acta de Desarrollo de 1992, requiere que las oportunidades económicas generadas por actividades financiadas por HUD, le sean provistas, lo más posible, a personas de ingresos bajos, especialmente aquellos que reciben asistencia gubernamental de vivienda y a negocios que proveen oportunidades económicas a estas personas.</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t>Los requisitos de Sección 3 aplican al adiestramiento, empleo, contratación y otras oportunidades económicas que surjan de tos gastos para asistencia a vivienda pública en las siguientes actividades:</w:t>
      </w:r>
    </w:p>
    <w:p w:rsidR="00BF5F2A" w:rsidRPr="00BF5F2A" w:rsidRDefault="00BF5F2A" w:rsidP="00BF5F2A">
      <w:pPr>
        <w:widowControl w:val="0"/>
        <w:numPr>
          <w:ilvl w:val="0"/>
          <w:numId w:val="1"/>
        </w:numPr>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t>Desarrollo</w:t>
      </w:r>
    </w:p>
    <w:p w:rsidR="00BF5F2A" w:rsidRPr="00BF5F2A" w:rsidRDefault="00BF5F2A" w:rsidP="00BF5F2A">
      <w:pPr>
        <w:widowControl w:val="0"/>
        <w:numPr>
          <w:ilvl w:val="0"/>
          <w:numId w:val="1"/>
        </w:numPr>
        <w:autoSpaceDE w:val="0"/>
        <w:autoSpaceDN w:val="0"/>
        <w:adjustRightInd w:val="0"/>
        <w:spacing w:after="0" w:line="240" w:lineRule="auto"/>
        <w:jc w:val="both"/>
        <w:rPr>
          <w:rFonts w:ascii="Arial" w:eastAsia="Times New Roman" w:hAnsi="Arial" w:cs="Arial"/>
          <w:sz w:val="24"/>
          <w:szCs w:val="36"/>
        </w:rPr>
      </w:pPr>
      <w:r w:rsidRPr="00BF5F2A">
        <w:rPr>
          <w:rFonts w:ascii="Arial" w:eastAsia="Times New Roman" w:hAnsi="Arial" w:cs="Arial"/>
          <w:sz w:val="24"/>
          <w:szCs w:val="36"/>
        </w:rPr>
        <w:t>Operación</w:t>
      </w:r>
    </w:p>
    <w:p w:rsidR="00BF5F2A" w:rsidRPr="00BF5F2A" w:rsidRDefault="00BF5F2A" w:rsidP="00BF5F2A">
      <w:pPr>
        <w:widowControl w:val="0"/>
        <w:numPr>
          <w:ilvl w:val="0"/>
          <w:numId w:val="1"/>
        </w:numPr>
        <w:autoSpaceDE w:val="0"/>
        <w:autoSpaceDN w:val="0"/>
        <w:adjustRightInd w:val="0"/>
        <w:spacing w:after="0" w:line="240" w:lineRule="auto"/>
        <w:jc w:val="both"/>
        <w:rPr>
          <w:rFonts w:ascii="Arial" w:eastAsia="Times New Roman" w:hAnsi="Arial" w:cs="Arial"/>
          <w:sz w:val="24"/>
          <w:szCs w:val="36"/>
        </w:rPr>
      </w:pPr>
      <w:r w:rsidRPr="00BF5F2A">
        <w:rPr>
          <w:rFonts w:ascii="Arial" w:eastAsia="Times New Roman" w:hAnsi="Arial" w:cs="Arial"/>
          <w:sz w:val="24"/>
          <w:szCs w:val="36"/>
        </w:rPr>
        <w:t>Modernización</w:t>
      </w:r>
    </w:p>
    <w:p w:rsidR="00BF5F2A" w:rsidRPr="00BF5F2A" w:rsidRDefault="00BF5F2A" w:rsidP="00BF5F2A">
      <w:pPr>
        <w:widowControl w:val="0"/>
        <w:autoSpaceDE w:val="0"/>
        <w:autoSpaceDN w:val="0"/>
        <w:adjustRightInd w:val="0"/>
        <w:spacing w:before="240" w:after="0" w:line="220" w:lineRule="auto"/>
        <w:jc w:val="both"/>
        <w:rPr>
          <w:rFonts w:ascii="Arial" w:eastAsia="Times New Roman" w:hAnsi="Arial" w:cs="Arial"/>
          <w:sz w:val="24"/>
          <w:szCs w:val="36"/>
        </w:rPr>
      </w:pPr>
      <w:r w:rsidRPr="00BF5F2A">
        <w:rPr>
          <w:rFonts w:ascii="Arial" w:eastAsia="Times New Roman" w:hAnsi="Arial" w:cs="Arial"/>
          <w:sz w:val="24"/>
          <w:szCs w:val="36"/>
        </w:rPr>
        <w:t>Los requisitos de Sección 3 también aplican a los contratistas que realicen trabajos financiados con fondos de vivienda, sin importar la cantidad del contrato o sub-contrato.</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caps/>
          <w:sz w:val="24"/>
          <w:szCs w:val="44"/>
          <w:u w:val="single"/>
        </w:rPr>
      </w:pPr>
      <w:r w:rsidRPr="00BF5F2A">
        <w:rPr>
          <w:rFonts w:ascii="Arial" w:eastAsia="Times New Roman" w:hAnsi="Arial" w:cs="Arial"/>
          <w:b/>
          <w:bCs/>
          <w:caps/>
          <w:sz w:val="24"/>
          <w:szCs w:val="44"/>
          <w:u w:val="single"/>
        </w:rPr>
        <w:t>Metas Para Cumplir Con El Requisito Mínimo;</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40"/>
        </w:rPr>
      </w:pPr>
      <w:r w:rsidRPr="00BF5F2A">
        <w:rPr>
          <w:rFonts w:ascii="Arial" w:eastAsia="Times New Roman" w:hAnsi="Arial" w:cs="Arial"/>
          <w:b/>
          <w:bCs/>
          <w:sz w:val="24"/>
          <w:szCs w:val="40"/>
        </w:rPr>
        <w:t>1. NUEVOS EMPLEADOS</w:t>
      </w:r>
    </w:p>
    <w:p w:rsidR="00BF5F2A" w:rsidRPr="00BF5F2A" w:rsidRDefault="00BF5F2A" w:rsidP="00BF5F2A">
      <w:pPr>
        <w:widowControl w:val="0"/>
        <w:numPr>
          <w:ilvl w:val="0"/>
          <w:numId w:val="4"/>
        </w:numPr>
        <w:autoSpaceDE w:val="0"/>
        <w:autoSpaceDN w:val="0"/>
        <w:adjustRightInd w:val="0"/>
        <w:spacing w:before="240" w:after="0" w:line="240" w:lineRule="auto"/>
        <w:jc w:val="both"/>
        <w:rPr>
          <w:rFonts w:ascii="Arial" w:eastAsia="Times New Roman" w:hAnsi="Arial" w:cs="Arial"/>
          <w:sz w:val="24"/>
          <w:szCs w:val="40"/>
        </w:rPr>
      </w:pPr>
      <w:r w:rsidRPr="00BF5F2A">
        <w:rPr>
          <w:rFonts w:ascii="Arial" w:eastAsia="Times New Roman" w:hAnsi="Arial" w:cs="Arial"/>
          <w:sz w:val="24"/>
          <w:szCs w:val="40"/>
        </w:rPr>
        <w:t>10% del total de nuevos empleados disponibles por un (1) año para el 1995.</w:t>
      </w:r>
    </w:p>
    <w:p w:rsidR="00BF5F2A" w:rsidRPr="00BF5F2A" w:rsidRDefault="00BF5F2A" w:rsidP="00BF5F2A">
      <w:pPr>
        <w:widowControl w:val="0"/>
        <w:numPr>
          <w:ilvl w:val="0"/>
          <w:numId w:val="4"/>
        </w:numPr>
        <w:autoSpaceDE w:val="0"/>
        <w:autoSpaceDN w:val="0"/>
        <w:adjustRightInd w:val="0"/>
        <w:spacing w:after="0" w:line="240" w:lineRule="auto"/>
        <w:jc w:val="both"/>
        <w:rPr>
          <w:rFonts w:ascii="Arial" w:eastAsia="Times New Roman" w:hAnsi="Arial" w:cs="Arial"/>
          <w:sz w:val="24"/>
          <w:szCs w:val="40"/>
        </w:rPr>
      </w:pPr>
      <w:r w:rsidRPr="00BF5F2A">
        <w:rPr>
          <w:rFonts w:ascii="Arial" w:eastAsia="Times New Roman" w:hAnsi="Arial" w:cs="Arial"/>
          <w:sz w:val="24"/>
          <w:szCs w:val="40"/>
        </w:rPr>
        <w:t>20% del total de nuevos empleados disponibles por un (1) año para el 1996,</w:t>
      </w:r>
    </w:p>
    <w:p w:rsidR="00BF5F2A" w:rsidRPr="00BF5F2A" w:rsidRDefault="00BF5F2A" w:rsidP="00BF5F2A">
      <w:pPr>
        <w:widowControl w:val="0"/>
        <w:numPr>
          <w:ilvl w:val="0"/>
          <w:numId w:val="4"/>
        </w:numPr>
        <w:autoSpaceDE w:val="0"/>
        <w:autoSpaceDN w:val="0"/>
        <w:adjustRightInd w:val="0"/>
        <w:spacing w:after="0" w:line="240" w:lineRule="auto"/>
        <w:jc w:val="both"/>
        <w:rPr>
          <w:rFonts w:ascii="Arial" w:eastAsia="Times New Roman" w:hAnsi="Arial" w:cs="Arial"/>
          <w:sz w:val="24"/>
          <w:szCs w:val="40"/>
        </w:rPr>
      </w:pPr>
      <w:r w:rsidRPr="00BF5F2A">
        <w:rPr>
          <w:rFonts w:ascii="Arial" w:eastAsia="Times New Roman" w:hAnsi="Arial" w:cs="Arial"/>
          <w:sz w:val="24"/>
          <w:szCs w:val="40"/>
        </w:rPr>
        <w:t>30% del total de nuevos empleados disponibles por un (1) año para el 1997 y en adelante.</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40"/>
        </w:rPr>
      </w:pPr>
      <w:r w:rsidRPr="00BF5F2A">
        <w:rPr>
          <w:rFonts w:ascii="Arial" w:eastAsia="Times New Roman" w:hAnsi="Arial" w:cs="Arial"/>
          <w:b/>
          <w:bCs/>
          <w:sz w:val="24"/>
          <w:szCs w:val="40"/>
        </w:rPr>
        <w:t xml:space="preserve">2. ORDEN DE </w:t>
      </w:r>
      <w:r w:rsidRPr="00BF5F2A">
        <w:rPr>
          <w:rFonts w:ascii="Arial" w:eastAsia="Times New Roman" w:hAnsi="Arial" w:cs="Arial"/>
          <w:b/>
          <w:bCs/>
          <w:caps/>
          <w:sz w:val="24"/>
          <w:szCs w:val="40"/>
        </w:rPr>
        <w:t>Prioridad</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40"/>
        </w:rPr>
      </w:pPr>
      <w:r w:rsidRPr="00BF5F2A">
        <w:rPr>
          <w:rFonts w:ascii="Arial" w:eastAsia="Times New Roman" w:hAnsi="Arial" w:cs="Arial"/>
          <w:sz w:val="24"/>
          <w:szCs w:val="40"/>
        </w:rPr>
        <w:t>La Administración de Vivienda Pública, sus contratistas y sub-contratistas dirigirán sus esfuerzos a proveer, lo más posible, adiestramientos y oportunidades de empleos a residentes de vivienda pública en el siguiente orden de prioridad:</w:t>
      </w:r>
    </w:p>
    <w:p w:rsidR="00BF5F2A" w:rsidRPr="00BF5F2A" w:rsidRDefault="00BF5F2A" w:rsidP="00BF5F2A">
      <w:pPr>
        <w:widowControl w:val="0"/>
        <w:numPr>
          <w:ilvl w:val="0"/>
          <w:numId w:val="5"/>
        </w:numPr>
        <w:autoSpaceDE w:val="0"/>
        <w:autoSpaceDN w:val="0"/>
        <w:adjustRightInd w:val="0"/>
        <w:spacing w:before="240" w:after="0" w:line="240" w:lineRule="auto"/>
        <w:jc w:val="both"/>
        <w:rPr>
          <w:rFonts w:ascii="Arial" w:eastAsia="Times New Roman" w:hAnsi="Arial" w:cs="Arial"/>
          <w:sz w:val="24"/>
          <w:szCs w:val="40"/>
        </w:rPr>
      </w:pPr>
      <w:r w:rsidRPr="00BF5F2A">
        <w:rPr>
          <w:rFonts w:ascii="Arial" w:eastAsia="Times New Roman" w:hAnsi="Arial" w:cs="Arial"/>
          <w:sz w:val="24"/>
          <w:szCs w:val="40"/>
        </w:rPr>
        <w:t>Residentes del proyecto donde se va a llevar a cabo el trabajo.</w:t>
      </w:r>
    </w:p>
    <w:p w:rsidR="00BF5F2A" w:rsidRPr="00BF5F2A" w:rsidRDefault="00BF5F2A" w:rsidP="00BF5F2A">
      <w:pPr>
        <w:widowControl w:val="0"/>
        <w:numPr>
          <w:ilvl w:val="0"/>
          <w:numId w:val="5"/>
        </w:numPr>
        <w:autoSpaceDE w:val="0"/>
        <w:autoSpaceDN w:val="0"/>
        <w:adjustRightInd w:val="0"/>
        <w:spacing w:after="0" w:line="240" w:lineRule="auto"/>
        <w:jc w:val="both"/>
        <w:rPr>
          <w:rFonts w:ascii="Arial" w:eastAsia="Times New Roman" w:hAnsi="Arial" w:cs="Arial"/>
          <w:sz w:val="24"/>
          <w:szCs w:val="40"/>
        </w:rPr>
      </w:pPr>
      <w:r w:rsidRPr="00BF5F2A">
        <w:rPr>
          <w:rFonts w:ascii="Arial" w:eastAsia="Times New Roman" w:hAnsi="Arial" w:cs="Arial"/>
          <w:sz w:val="24"/>
          <w:szCs w:val="40"/>
        </w:rPr>
        <w:t>Residentes de otros proyectos administrados por la Administración de Vivienda Pública y/o sus Agentes Administradores.</w:t>
      </w:r>
    </w:p>
    <w:p w:rsidR="00BF5F2A" w:rsidRPr="00BF5F2A" w:rsidRDefault="00BF5F2A" w:rsidP="00BF5F2A">
      <w:pPr>
        <w:widowControl w:val="0"/>
        <w:numPr>
          <w:ilvl w:val="0"/>
          <w:numId w:val="5"/>
        </w:numPr>
        <w:autoSpaceDE w:val="0"/>
        <w:autoSpaceDN w:val="0"/>
        <w:adjustRightInd w:val="0"/>
        <w:spacing w:after="0" w:line="240" w:lineRule="auto"/>
        <w:jc w:val="both"/>
        <w:rPr>
          <w:rFonts w:ascii="Arial" w:eastAsia="Times New Roman" w:hAnsi="Arial" w:cs="Arial"/>
          <w:sz w:val="24"/>
          <w:szCs w:val="40"/>
        </w:rPr>
      </w:pPr>
      <w:r w:rsidRPr="00BF5F2A">
        <w:rPr>
          <w:rFonts w:ascii="Arial" w:eastAsia="Times New Roman" w:hAnsi="Arial" w:cs="Arial"/>
          <w:sz w:val="24"/>
          <w:szCs w:val="40"/>
        </w:rPr>
        <w:t>Jóvenes participantes del Programa “</w:t>
      </w:r>
      <w:proofErr w:type="spellStart"/>
      <w:r w:rsidRPr="00BF5F2A">
        <w:rPr>
          <w:rFonts w:ascii="Arial" w:eastAsia="Times New Roman" w:hAnsi="Arial" w:cs="Arial"/>
          <w:sz w:val="24"/>
          <w:szCs w:val="40"/>
        </w:rPr>
        <w:t>Youthbuild</w:t>
      </w:r>
      <w:proofErr w:type="spellEnd"/>
      <w:r w:rsidRPr="00BF5F2A">
        <w:rPr>
          <w:rFonts w:ascii="Arial" w:eastAsia="Times New Roman" w:hAnsi="Arial" w:cs="Arial"/>
          <w:sz w:val="24"/>
          <w:szCs w:val="40"/>
        </w:rPr>
        <w:t>” si aplica.</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b/>
          <w:bCs/>
          <w:sz w:val="24"/>
          <w:szCs w:val="36"/>
        </w:rPr>
        <w:t>3. ELEGIBILIDAD PARA EMPLEO</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lastRenderedPageBreak/>
        <w:t>Nada de la Parte 135.34(c) se interpretará como que requiere el empleo de residentes cobijados por la Sección 3, aunque éstos no cumplan con los requisitos necesarios para la posición vacante.</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b/>
          <w:bCs/>
          <w:sz w:val="24"/>
          <w:szCs w:val="36"/>
        </w:rPr>
        <w:t>4. PREFERENCIAS PARA CONTRATOS</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t>La Administración de Vivienda Pública, sus contratistas y sub-contratistas dirigirán sus esfuerzos a proveer contratos, lo más posible, a negocios cobijados bajo la Sección 3, de la siguiente forma:</w:t>
      </w:r>
    </w:p>
    <w:p w:rsidR="00BF5F2A" w:rsidRPr="00BF5F2A" w:rsidRDefault="00BF5F2A" w:rsidP="00BF5F2A">
      <w:pPr>
        <w:widowControl w:val="0"/>
        <w:numPr>
          <w:ilvl w:val="0"/>
          <w:numId w:val="2"/>
        </w:numPr>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t>Negocios cuyos dueños (51% o más), son residentes del proyecto donde se llevará a cabo el trabajo. Aquellos negocios en que el 30% de su fuerza laboral (empleos a tiempo completo o permanente), está compuesta por residentes del proyecto.</w:t>
      </w:r>
    </w:p>
    <w:p w:rsidR="00BF5F2A" w:rsidRPr="00BF5F2A" w:rsidRDefault="00BF5F2A" w:rsidP="00BF5F2A">
      <w:pPr>
        <w:widowControl w:val="0"/>
        <w:numPr>
          <w:ilvl w:val="0"/>
          <w:numId w:val="2"/>
        </w:numPr>
        <w:autoSpaceDE w:val="0"/>
        <w:autoSpaceDN w:val="0"/>
        <w:adjustRightInd w:val="0"/>
        <w:spacing w:after="0" w:line="240" w:lineRule="auto"/>
        <w:jc w:val="both"/>
        <w:rPr>
          <w:rFonts w:ascii="Arial" w:eastAsia="Times New Roman" w:hAnsi="Arial" w:cs="Arial"/>
          <w:sz w:val="24"/>
          <w:szCs w:val="36"/>
        </w:rPr>
      </w:pPr>
      <w:r w:rsidRPr="00BF5F2A">
        <w:rPr>
          <w:rFonts w:ascii="Arial" w:eastAsia="Times New Roman" w:hAnsi="Arial" w:cs="Arial"/>
          <w:sz w:val="24"/>
          <w:szCs w:val="36"/>
        </w:rPr>
        <w:t>Negocios cuyos dueños (51% o más) son residentes de otros proyectos de vivienda pública o aquellos negocios en que el 30% de su fuerza laboral (</w:t>
      </w:r>
      <w:proofErr w:type="gramStart"/>
      <w:r w:rsidRPr="00BF5F2A">
        <w:rPr>
          <w:rFonts w:ascii="Arial" w:eastAsia="Times New Roman" w:hAnsi="Arial" w:cs="Arial"/>
          <w:sz w:val="24"/>
          <w:szCs w:val="36"/>
        </w:rPr>
        <w:t>empleos permanentes o a tiempo completo</w:t>
      </w:r>
      <w:proofErr w:type="gramEnd"/>
      <w:r w:rsidRPr="00BF5F2A">
        <w:rPr>
          <w:rFonts w:ascii="Arial" w:eastAsia="Times New Roman" w:hAnsi="Arial" w:cs="Arial"/>
          <w:sz w:val="24"/>
          <w:szCs w:val="36"/>
        </w:rPr>
        <w:t>) está compuesta por residentes de otros proyectos.</w:t>
      </w:r>
    </w:p>
    <w:p w:rsidR="00BF5F2A" w:rsidRPr="00BF5F2A" w:rsidRDefault="00BF5F2A" w:rsidP="00BF5F2A">
      <w:pPr>
        <w:widowControl w:val="0"/>
        <w:numPr>
          <w:ilvl w:val="0"/>
          <w:numId w:val="2"/>
        </w:numPr>
        <w:autoSpaceDE w:val="0"/>
        <w:autoSpaceDN w:val="0"/>
        <w:adjustRightInd w:val="0"/>
        <w:spacing w:after="0" w:line="240" w:lineRule="auto"/>
        <w:jc w:val="both"/>
        <w:rPr>
          <w:rFonts w:ascii="Arial" w:eastAsia="Times New Roman" w:hAnsi="Arial" w:cs="Arial"/>
          <w:sz w:val="24"/>
          <w:szCs w:val="36"/>
        </w:rPr>
      </w:pPr>
      <w:r w:rsidRPr="00BF5F2A">
        <w:rPr>
          <w:rFonts w:ascii="Arial" w:eastAsia="Times New Roman" w:hAnsi="Arial" w:cs="Arial"/>
          <w:sz w:val="24"/>
          <w:szCs w:val="36"/>
        </w:rPr>
        <w:t>Jóvenes bajo el Programa “</w:t>
      </w:r>
      <w:proofErr w:type="spellStart"/>
      <w:r w:rsidRPr="00BF5F2A">
        <w:rPr>
          <w:rFonts w:ascii="Arial" w:eastAsia="Times New Roman" w:hAnsi="Arial" w:cs="Arial"/>
          <w:sz w:val="24"/>
          <w:szCs w:val="36"/>
        </w:rPr>
        <w:t>Youthbuild</w:t>
      </w:r>
      <w:proofErr w:type="spellEnd"/>
      <w:r w:rsidRPr="00BF5F2A">
        <w:rPr>
          <w:rFonts w:ascii="Arial" w:eastAsia="Times New Roman" w:hAnsi="Arial" w:cs="Arial"/>
          <w:sz w:val="24"/>
          <w:szCs w:val="36"/>
        </w:rPr>
        <w:t>”.</w:t>
      </w:r>
    </w:p>
    <w:p w:rsidR="00BF5F2A" w:rsidRPr="00BF5F2A" w:rsidRDefault="00BF5F2A" w:rsidP="00BF5F2A">
      <w:pPr>
        <w:widowControl w:val="0"/>
        <w:numPr>
          <w:ilvl w:val="0"/>
          <w:numId w:val="2"/>
        </w:numPr>
        <w:autoSpaceDE w:val="0"/>
        <w:autoSpaceDN w:val="0"/>
        <w:adjustRightInd w:val="0"/>
        <w:spacing w:after="0" w:line="240" w:lineRule="auto"/>
        <w:jc w:val="both"/>
        <w:rPr>
          <w:rFonts w:ascii="Arial" w:eastAsia="Times New Roman" w:hAnsi="Arial" w:cs="Arial"/>
          <w:sz w:val="24"/>
          <w:szCs w:val="36"/>
        </w:rPr>
      </w:pPr>
      <w:r w:rsidRPr="00BF5F2A">
        <w:rPr>
          <w:rFonts w:ascii="Arial" w:eastAsia="Times New Roman" w:hAnsi="Arial" w:cs="Arial"/>
          <w:sz w:val="24"/>
          <w:szCs w:val="36"/>
        </w:rPr>
        <w:t>Negocios cuyos dueños (51% o más) los cobija la Sección 3, o cuya fuerza laboral (no menos del 30%) son residentes de otros proyectos de vivienda pública.</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b/>
          <w:bCs/>
          <w:sz w:val="24"/>
          <w:szCs w:val="36"/>
        </w:rPr>
        <w:t>5. OTRAS OPORTUNIDADES</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t>Se fomenta que los recipientes faciliten otras oportunidades de desarrollo económico además de adiestramientos, empleos o contratos.</w:t>
      </w:r>
    </w:p>
    <w:p w:rsidR="00BF5F2A" w:rsidRPr="00BF5F2A" w:rsidRDefault="00BF5F2A" w:rsidP="00BF5F2A">
      <w:pPr>
        <w:widowControl w:val="0"/>
        <w:autoSpaceDE w:val="0"/>
        <w:autoSpaceDN w:val="0"/>
        <w:adjustRightInd w:val="0"/>
        <w:spacing w:before="240" w:after="0" w:line="240" w:lineRule="auto"/>
        <w:jc w:val="both"/>
        <w:rPr>
          <w:rFonts w:ascii="Arial" w:eastAsia="Times New Roman" w:hAnsi="Arial" w:cs="Arial"/>
          <w:sz w:val="24"/>
          <w:szCs w:val="36"/>
        </w:rPr>
      </w:pPr>
      <w:r w:rsidRPr="00BF5F2A">
        <w:rPr>
          <w:rFonts w:ascii="Arial" w:eastAsia="Times New Roman" w:hAnsi="Arial" w:cs="Arial"/>
          <w:sz w:val="24"/>
          <w:szCs w:val="36"/>
        </w:rPr>
        <w:t>Otras oportunidades pueden ser establecer o expandir negocios, incluyendo pequeños negocios. Estas oportunidades incluyen pero no se limita a:</w:t>
      </w:r>
    </w:p>
    <w:p w:rsidR="00BF5F2A" w:rsidRPr="00BF5F2A" w:rsidRDefault="00BF5F2A" w:rsidP="00BF5F2A">
      <w:pPr>
        <w:widowControl w:val="0"/>
        <w:numPr>
          <w:ilvl w:val="0"/>
          <w:numId w:val="3"/>
        </w:numPr>
        <w:autoSpaceDE w:val="0"/>
        <w:autoSpaceDN w:val="0"/>
        <w:adjustRightInd w:val="0"/>
        <w:spacing w:before="240" w:after="0" w:line="240" w:lineRule="auto"/>
        <w:jc w:val="both"/>
        <w:rPr>
          <w:rFonts w:ascii="Arial" w:eastAsia="Times New Roman" w:hAnsi="Arial" w:cs="Arial"/>
          <w:sz w:val="24"/>
          <w:szCs w:val="32"/>
        </w:rPr>
      </w:pPr>
      <w:r w:rsidRPr="00BF5F2A">
        <w:rPr>
          <w:rFonts w:ascii="Arial" w:eastAsia="Times New Roman" w:hAnsi="Arial" w:cs="Arial"/>
          <w:sz w:val="24"/>
          <w:szCs w:val="32"/>
        </w:rPr>
        <w:t>Formación de "Joint-</w:t>
      </w:r>
      <w:proofErr w:type="spellStart"/>
      <w:r w:rsidRPr="00BF5F2A">
        <w:rPr>
          <w:rFonts w:ascii="Arial" w:eastAsia="Times New Roman" w:hAnsi="Arial" w:cs="Arial"/>
          <w:sz w:val="24"/>
          <w:szCs w:val="32"/>
        </w:rPr>
        <w:t>ventures</w:t>
      </w:r>
      <w:proofErr w:type="spellEnd"/>
      <w:r w:rsidRPr="00BF5F2A">
        <w:rPr>
          <w:rFonts w:ascii="Arial" w:eastAsia="Times New Roman" w:hAnsi="Arial" w:cs="Arial"/>
          <w:sz w:val="24"/>
          <w:szCs w:val="32"/>
        </w:rPr>
        <w:t>'' (asociaciones de varios negocios bajo la Sección 3, unidos para realizar un negocio o actividad específica).</w:t>
      </w:r>
    </w:p>
    <w:p w:rsidR="00BF5F2A" w:rsidRPr="00BF5F2A" w:rsidRDefault="00BF5F2A" w:rsidP="00BF5F2A">
      <w:pPr>
        <w:widowControl w:val="0"/>
        <w:numPr>
          <w:ilvl w:val="0"/>
          <w:numId w:val="3"/>
        </w:numPr>
        <w:autoSpaceDE w:val="0"/>
        <w:autoSpaceDN w:val="0"/>
        <w:adjustRightInd w:val="0"/>
        <w:spacing w:after="0" w:line="240" w:lineRule="auto"/>
        <w:jc w:val="both"/>
        <w:rPr>
          <w:rFonts w:ascii="Arial" w:eastAsia="Times New Roman" w:hAnsi="Arial" w:cs="Arial"/>
          <w:sz w:val="24"/>
          <w:szCs w:val="32"/>
        </w:rPr>
      </w:pPr>
      <w:r w:rsidRPr="00BF5F2A">
        <w:rPr>
          <w:rFonts w:ascii="Arial" w:eastAsia="Times New Roman" w:hAnsi="Arial" w:cs="Arial"/>
          <w:sz w:val="24"/>
          <w:szCs w:val="32"/>
        </w:rPr>
        <w:t>Apoyo financiero para afiliarse con franquicias o en el desarrollo de franquicias.</w:t>
      </w:r>
    </w:p>
    <w:p w:rsidR="00BF5F2A" w:rsidRPr="00BF5F2A" w:rsidRDefault="00BF5F2A" w:rsidP="00BF5F2A">
      <w:pPr>
        <w:widowControl w:val="0"/>
        <w:numPr>
          <w:ilvl w:val="0"/>
          <w:numId w:val="3"/>
        </w:numPr>
        <w:autoSpaceDE w:val="0"/>
        <w:autoSpaceDN w:val="0"/>
        <w:adjustRightInd w:val="0"/>
        <w:spacing w:after="0" w:line="240" w:lineRule="auto"/>
        <w:jc w:val="both"/>
        <w:rPr>
          <w:rFonts w:ascii="Arial" w:eastAsia="Times New Roman" w:hAnsi="Arial" w:cs="Arial"/>
          <w:sz w:val="24"/>
          <w:szCs w:val="32"/>
        </w:rPr>
      </w:pPr>
      <w:r w:rsidRPr="00BF5F2A">
        <w:rPr>
          <w:rFonts w:ascii="Arial" w:eastAsia="Times New Roman" w:hAnsi="Arial" w:cs="Arial"/>
          <w:sz w:val="24"/>
          <w:szCs w:val="32"/>
        </w:rPr>
        <w:t>Uso de contratos de mano de obra para trabajos de construcción.</w:t>
      </w:r>
    </w:p>
    <w:p w:rsidR="00BF5F2A" w:rsidRPr="00BF5F2A" w:rsidRDefault="00BF5F2A" w:rsidP="00BF5F2A">
      <w:pPr>
        <w:widowControl w:val="0"/>
        <w:numPr>
          <w:ilvl w:val="0"/>
          <w:numId w:val="3"/>
        </w:numPr>
        <w:autoSpaceDE w:val="0"/>
        <w:autoSpaceDN w:val="0"/>
        <w:adjustRightInd w:val="0"/>
        <w:spacing w:after="0" w:line="240" w:lineRule="auto"/>
        <w:jc w:val="both"/>
        <w:rPr>
          <w:rFonts w:ascii="Arial" w:eastAsia="Times New Roman" w:hAnsi="Arial" w:cs="Arial"/>
          <w:sz w:val="24"/>
          <w:szCs w:val="32"/>
        </w:rPr>
      </w:pPr>
      <w:r w:rsidRPr="00BF5F2A">
        <w:rPr>
          <w:rFonts w:ascii="Arial" w:eastAsia="Times New Roman" w:hAnsi="Arial" w:cs="Arial"/>
          <w:sz w:val="24"/>
          <w:szCs w:val="32"/>
        </w:rPr>
        <w:t>Compra de equipo y materiales a corporaciones de residentes de vivienda pública.</w:t>
      </w:r>
    </w:p>
    <w:p w:rsidR="00BF5F2A" w:rsidRPr="00BF5F2A" w:rsidRDefault="00BF5F2A" w:rsidP="00BF5F2A">
      <w:pPr>
        <w:widowControl w:val="0"/>
        <w:numPr>
          <w:ilvl w:val="0"/>
          <w:numId w:val="3"/>
        </w:numPr>
        <w:autoSpaceDE w:val="0"/>
        <w:autoSpaceDN w:val="0"/>
        <w:adjustRightInd w:val="0"/>
        <w:spacing w:after="0" w:line="240" w:lineRule="auto"/>
        <w:jc w:val="both"/>
        <w:rPr>
          <w:rFonts w:ascii="Arial" w:eastAsia="Times New Roman" w:hAnsi="Arial" w:cs="Arial"/>
          <w:sz w:val="24"/>
          <w:szCs w:val="32"/>
        </w:rPr>
      </w:pPr>
      <w:r w:rsidRPr="00BF5F2A">
        <w:rPr>
          <w:rFonts w:ascii="Arial" w:eastAsia="Times New Roman" w:hAnsi="Arial" w:cs="Arial"/>
          <w:sz w:val="24"/>
          <w:szCs w:val="32"/>
        </w:rPr>
        <w:t>Uso de procedimiento alterno de contratación (24 CFR 963).</w:t>
      </w:r>
    </w:p>
    <w:p w:rsidR="00F33006" w:rsidRPr="0085320D" w:rsidRDefault="00F33006" w:rsidP="0085320D"/>
    <w:sectPr w:rsidR="00F33006" w:rsidRPr="0085320D" w:rsidSect="0085320D">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2A" w:rsidRDefault="00BF5F2A" w:rsidP="001C7009">
      <w:pPr>
        <w:spacing w:after="0" w:line="240" w:lineRule="auto"/>
      </w:pPr>
      <w:r>
        <w:separator/>
      </w:r>
    </w:p>
  </w:endnote>
  <w:endnote w:type="continuationSeparator" w:id="0">
    <w:p w:rsidR="00BF5F2A" w:rsidRDefault="00BF5F2A"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44" w:rsidRDefault="00A35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09" w:rsidRDefault="001C70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006" w:rsidRPr="00A35D44" w:rsidRDefault="00F33006" w:rsidP="00A35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2A" w:rsidRDefault="00BF5F2A" w:rsidP="001C7009">
      <w:pPr>
        <w:spacing w:after="0" w:line="240" w:lineRule="auto"/>
      </w:pPr>
      <w:r>
        <w:separator/>
      </w:r>
    </w:p>
  </w:footnote>
  <w:footnote w:type="continuationSeparator" w:id="0">
    <w:p w:rsidR="00BF5F2A" w:rsidRDefault="00BF5F2A"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44" w:rsidRDefault="00A35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006" w:rsidRDefault="00A35D44">
    <w:pPr>
      <w:pStyle w:val="Header"/>
    </w:pPr>
    <w:bookmarkStart w:id="0" w:name="_GoBack"/>
    <w:r>
      <w:rPr>
        <w:noProof/>
        <w:lang w:eastAsia="es-PR"/>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-456845</wp:posOffset>
          </wp:positionV>
          <wp:extent cx="7774305" cy="10060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4305" cy="10060865"/>
                  </a:xfrm>
                  <a:prstGeom prst="rect">
                    <a:avLst/>
                  </a:prstGeom>
                  <a:noFill/>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4016"/>
    <w:multiLevelType w:val="hybridMultilevel"/>
    <w:tmpl w:val="5D56027A"/>
    <w:lvl w:ilvl="0" w:tplc="119253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7B0036"/>
    <w:multiLevelType w:val="hybridMultilevel"/>
    <w:tmpl w:val="93FA52D4"/>
    <w:lvl w:ilvl="0" w:tplc="AF5AA5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477C77"/>
    <w:multiLevelType w:val="hybridMultilevel"/>
    <w:tmpl w:val="F7FC4570"/>
    <w:lvl w:ilvl="0" w:tplc="F6E0916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0C7B73"/>
    <w:multiLevelType w:val="hybridMultilevel"/>
    <w:tmpl w:val="97729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5362F4"/>
    <w:multiLevelType w:val="hybridMultilevel"/>
    <w:tmpl w:val="6704738A"/>
    <w:lvl w:ilvl="0" w:tplc="A41A14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attachedTemplate r:id="rId1"/>
  <w:defaultTabStop w:val="708"/>
  <w:hyphenationZone w:val="425"/>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2A"/>
    <w:rsid w:val="00067778"/>
    <w:rsid w:val="00131C1C"/>
    <w:rsid w:val="00183C8E"/>
    <w:rsid w:val="001C7009"/>
    <w:rsid w:val="00267F8C"/>
    <w:rsid w:val="00420D35"/>
    <w:rsid w:val="00505ACB"/>
    <w:rsid w:val="006874C6"/>
    <w:rsid w:val="00767BA7"/>
    <w:rsid w:val="0085320D"/>
    <w:rsid w:val="008F7039"/>
    <w:rsid w:val="00A35D44"/>
    <w:rsid w:val="00A505E9"/>
    <w:rsid w:val="00BD177E"/>
    <w:rsid w:val="00BF5F2A"/>
    <w:rsid w:val="00C014AD"/>
    <w:rsid w:val="00D774DE"/>
    <w:rsid w:val="00F33006"/>
    <w:rsid w:val="00FC554A"/>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Papel%20Timbrado%20AVP%20OFICIAL%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11428F7A-2C09-442C-AFB8-6BC2B04196B4}"/>
</file>

<file path=customXml/itemProps2.xml><?xml version="1.0" encoding="utf-8"?>
<ds:datastoreItem xmlns:ds="http://schemas.openxmlformats.org/officeDocument/2006/customXml" ds:itemID="{198A8EFE-2EEA-4A21-9DA9-89CF169C7609}"/>
</file>

<file path=customXml/itemProps3.xml><?xml version="1.0" encoding="utf-8"?>
<ds:datastoreItem xmlns:ds="http://schemas.openxmlformats.org/officeDocument/2006/customXml" ds:itemID="{08D410F1-3290-4139-B43D-89961D73D9DC}"/>
</file>

<file path=docProps/app.xml><?xml version="1.0" encoding="utf-8"?>
<Properties xmlns="http://schemas.openxmlformats.org/officeDocument/2006/extended-properties" xmlns:vt="http://schemas.openxmlformats.org/officeDocument/2006/docPropsVTypes">
  <Template>Papel Timbrado AVP OFICIAL 2014</Template>
  <TotalTime>3</TotalTime>
  <Pages>2</Pages>
  <Words>537</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jlnegron</cp:lastModifiedBy>
  <cp:revision>2</cp:revision>
  <cp:lastPrinted>2014-01-15T17:14:00Z</cp:lastPrinted>
  <dcterms:created xsi:type="dcterms:W3CDTF">2014-04-10T19:18:00Z</dcterms:created>
  <dcterms:modified xsi:type="dcterms:W3CDTF">2014-09-22T17:18:00Z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